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6E8F" w14:textId="1465E0C1" w:rsidR="00243511" w:rsidRDefault="00E212D7" w:rsidP="00243511">
      <w:pPr>
        <w:pStyle w:val="COPTitle"/>
      </w:pPr>
      <w:r>
        <w:rPr>
          <w:rFonts w:asciiTheme="minorHAnsi" w:hAnsiTheme="minorHAnsi" w:cstheme="minorHAnsi"/>
          <w:b w:val="0"/>
          <w:bCs/>
          <w:noProof/>
          <w:sz w:val="28"/>
          <w:szCs w:val="28"/>
        </w:rPr>
        <w:drawing>
          <wp:anchor distT="0" distB="0" distL="114300" distR="114300" simplePos="0" relativeHeight="251658240" behindDoc="1" locked="0" layoutInCell="1" allowOverlap="1" wp14:anchorId="364C35DD" wp14:editId="236C097B">
            <wp:simplePos x="0" y="0"/>
            <wp:positionH relativeFrom="margin">
              <wp:align>right</wp:align>
            </wp:positionH>
            <wp:positionV relativeFrom="paragraph">
              <wp:posOffset>133985</wp:posOffset>
            </wp:positionV>
            <wp:extent cx="3646805" cy="3081020"/>
            <wp:effectExtent l="0" t="0" r="0" b="5080"/>
            <wp:wrapTight wrapText="bothSides">
              <wp:wrapPolygon edited="0">
                <wp:start x="0" y="0"/>
                <wp:lineTo x="0" y="21502"/>
                <wp:lineTo x="21438" y="21502"/>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646805" cy="3081020"/>
                    </a:xfrm>
                    <a:prstGeom prst="rect">
                      <a:avLst/>
                    </a:prstGeom>
                  </pic:spPr>
                </pic:pic>
              </a:graphicData>
            </a:graphic>
            <wp14:sizeRelH relativeFrom="margin">
              <wp14:pctWidth>0</wp14:pctWidth>
            </wp14:sizeRelH>
            <wp14:sizeRelV relativeFrom="margin">
              <wp14:pctHeight>0</wp14:pctHeight>
            </wp14:sizeRelV>
          </wp:anchor>
        </w:drawing>
      </w:r>
      <w:r w:rsidR="00243511" w:rsidRPr="00E25614">
        <w:t xml:space="preserve">Case Study - </w:t>
      </w:r>
      <w:r w:rsidR="00EC52ED">
        <w:t xml:space="preserve">SK-5 vs. </w:t>
      </w:r>
      <w:r w:rsidR="00DF75AC">
        <w:t>US-160-0</w:t>
      </w:r>
    </w:p>
    <w:p w14:paraId="14FB152B" w14:textId="356F92F7" w:rsidR="0056096C" w:rsidRDefault="0056096C" w:rsidP="0056096C">
      <w:pPr>
        <w:pStyle w:val="Heading1"/>
        <w:rPr>
          <w:rFonts w:asciiTheme="minorHAnsi" w:hAnsiTheme="minorHAnsi" w:cstheme="minorHAnsi"/>
          <w:b/>
          <w:bCs/>
          <w:sz w:val="28"/>
          <w:szCs w:val="28"/>
        </w:rPr>
      </w:pPr>
      <w:r w:rsidRPr="00CC3A8D">
        <w:rPr>
          <w:rFonts w:asciiTheme="minorHAnsi" w:hAnsiTheme="minorHAnsi" w:cstheme="minorHAnsi"/>
          <w:b/>
          <w:bCs/>
          <w:sz w:val="28"/>
          <w:szCs w:val="28"/>
        </w:rPr>
        <w:t>Farm</w:t>
      </w:r>
      <w:r>
        <w:rPr>
          <w:rFonts w:asciiTheme="minorHAnsi" w:hAnsiTheme="minorHAnsi" w:cstheme="minorHAnsi"/>
          <w:b/>
          <w:bCs/>
        </w:rPr>
        <w:t xml:space="preserve"> </w:t>
      </w:r>
      <w:r w:rsidRPr="00CC3A8D">
        <w:rPr>
          <w:rFonts w:asciiTheme="minorHAnsi" w:hAnsiTheme="minorHAnsi" w:cstheme="minorHAnsi"/>
          <w:b/>
          <w:bCs/>
          <w:sz w:val="28"/>
          <w:szCs w:val="28"/>
        </w:rPr>
        <w:t>Descriptions</w:t>
      </w:r>
    </w:p>
    <w:p w14:paraId="22C0EBB4" w14:textId="7AD219F0" w:rsidR="00F27DB5" w:rsidRDefault="00E212D7" w:rsidP="00F27DB5">
      <w:r w:rsidRPr="00C0163E">
        <w:rPr>
          <w:rFonts w:cstheme="minorHAnsi"/>
          <w:b/>
          <w:bCs/>
          <w:noProof/>
          <w:sz w:val="28"/>
          <w:szCs w:val="28"/>
        </w:rPr>
        <mc:AlternateContent>
          <mc:Choice Requires="wps">
            <w:drawing>
              <wp:anchor distT="45720" distB="45720" distL="114300" distR="114300" simplePos="0" relativeHeight="251663360" behindDoc="0" locked="0" layoutInCell="1" allowOverlap="1" wp14:anchorId="2609478A" wp14:editId="71E8C09C">
                <wp:simplePos x="0" y="0"/>
                <wp:positionH relativeFrom="column">
                  <wp:posOffset>6379210</wp:posOffset>
                </wp:positionH>
                <wp:positionV relativeFrom="paragraph">
                  <wp:posOffset>1115060</wp:posOffset>
                </wp:positionV>
                <wp:extent cx="1083945" cy="1404620"/>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404620"/>
                        </a:xfrm>
                        <a:prstGeom prst="rect">
                          <a:avLst/>
                        </a:prstGeom>
                        <a:noFill/>
                        <a:ln w="9525">
                          <a:noFill/>
                          <a:miter lim="800000"/>
                          <a:headEnd/>
                          <a:tailEnd/>
                        </a:ln>
                      </wps:spPr>
                      <wps:txbx>
                        <w:txbxContent>
                          <w:p w14:paraId="37C4FB15" w14:textId="361E9202" w:rsidR="00C0163E" w:rsidRPr="00E212D7" w:rsidRDefault="00DF75AC" w:rsidP="00C0163E">
                            <w:pPr>
                              <w:rPr>
                                <w:b/>
                                <w:bCs/>
                                <w:sz w:val="28"/>
                                <w:szCs w:val="28"/>
                              </w:rPr>
                            </w:pPr>
                            <w:r w:rsidRPr="00E212D7">
                              <w:rPr>
                                <w:b/>
                                <w:bCs/>
                                <w:sz w:val="28"/>
                                <w:szCs w:val="28"/>
                              </w:rPr>
                              <w:t>US-160-0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09478A" id="_x0000_t202" coordsize="21600,21600" o:spt="202" path="m,l,21600r21600,l21600,xe">
                <v:stroke joinstyle="miter"/>
                <v:path gradientshapeok="t" o:connecttype="rect"/>
              </v:shapetype>
              <v:shape id="Text Box 2" o:spid="_x0000_s1026" type="#_x0000_t202" style="position:absolute;margin-left:502.3pt;margin-top:87.8pt;width:85.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" filled="f" stroked="f">
                <v:textbox style="mso-fit-shape-to-text:t">
                  <w:txbxContent>
                    <w:p w14:paraId="37C4FB15" w14:textId="361E9202" w:rsidR="00C0163E" w:rsidRPr="00E212D7" w:rsidRDefault="00DF75AC" w:rsidP="00C0163E">
                      <w:pPr>
                        <w:rPr>
                          <w:b/>
                          <w:bCs/>
                          <w:sz w:val="28"/>
                          <w:szCs w:val="28"/>
                        </w:rPr>
                      </w:pPr>
                      <w:r w:rsidRPr="00E212D7">
                        <w:rPr>
                          <w:b/>
                          <w:bCs/>
                          <w:sz w:val="28"/>
                          <w:szCs w:val="28"/>
                        </w:rPr>
                        <w:t>US-160-0</w:t>
                      </w:r>
                    </w:p>
                  </w:txbxContent>
                </v:textbox>
                <w10:wrap type="square"/>
              </v:shape>
            </w:pict>
          </mc:Fallback>
        </mc:AlternateContent>
      </w:r>
      <w:r w:rsidRPr="00C0163E">
        <w:rPr>
          <w:rFonts w:cstheme="minorHAnsi"/>
          <w:b/>
          <w:bCs/>
          <w:noProof/>
          <w:sz w:val="28"/>
          <w:szCs w:val="28"/>
        </w:rPr>
        <mc:AlternateContent>
          <mc:Choice Requires="wps">
            <w:drawing>
              <wp:anchor distT="45720" distB="45720" distL="114300" distR="114300" simplePos="0" relativeHeight="251661312" behindDoc="0" locked="0" layoutInCell="1" allowOverlap="1" wp14:anchorId="48A2B5FD" wp14:editId="215C1860">
                <wp:simplePos x="0" y="0"/>
                <wp:positionH relativeFrom="column">
                  <wp:posOffset>5885431</wp:posOffset>
                </wp:positionH>
                <wp:positionV relativeFrom="paragraph">
                  <wp:posOffset>301329</wp:posOffset>
                </wp:positionV>
                <wp:extent cx="760095"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404620"/>
                        </a:xfrm>
                        <a:prstGeom prst="rect">
                          <a:avLst/>
                        </a:prstGeom>
                        <a:noFill/>
                        <a:ln w="9525">
                          <a:noFill/>
                          <a:miter lim="800000"/>
                          <a:headEnd/>
                          <a:tailEnd/>
                        </a:ln>
                      </wps:spPr>
                      <wps:txbx>
                        <w:txbxContent>
                          <w:p w14:paraId="3AE64B20" w14:textId="798755BA" w:rsidR="00C0163E" w:rsidRPr="00E212D7" w:rsidRDefault="00C0163E">
                            <w:pPr>
                              <w:rPr>
                                <w:b/>
                                <w:bCs/>
                                <w:sz w:val="28"/>
                                <w:szCs w:val="28"/>
                              </w:rPr>
                            </w:pPr>
                            <w:r w:rsidRPr="00E212D7">
                              <w:rPr>
                                <w:b/>
                                <w:bCs/>
                                <w:sz w:val="28"/>
                                <w:szCs w:val="28"/>
                              </w:rPr>
                              <w:t>SK-5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2B5FD" id="_x0000_s1027" type="#_x0000_t202" style="position:absolute;margin-left:463.4pt;margin-top:23.75pt;width:59.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" filled="f" stroked="f">
                <v:textbox style="mso-fit-shape-to-text:t">
                  <w:txbxContent>
                    <w:p w14:paraId="3AE64B20" w14:textId="798755BA" w:rsidR="00C0163E" w:rsidRPr="00E212D7" w:rsidRDefault="00C0163E">
                      <w:pPr>
                        <w:rPr>
                          <w:b/>
                          <w:bCs/>
                          <w:sz w:val="28"/>
                          <w:szCs w:val="28"/>
                        </w:rPr>
                      </w:pPr>
                      <w:r w:rsidRPr="00E212D7">
                        <w:rPr>
                          <w:b/>
                          <w:bCs/>
                          <w:sz w:val="28"/>
                          <w:szCs w:val="28"/>
                        </w:rPr>
                        <w:t>SK-5</w:t>
                      </w:r>
                    </w:p>
                  </w:txbxContent>
                </v:textbox>
                <w10:wrap type="square"/>
              </v:shape>
            </w:pict>
          </mc:Fallback>
        </mc:AlternateContent>
      </w:r>
      <w:r w:rsidR="00DF75AC" w:rsidRPr="00DF75AC">
        <w:rPr>
          <w:b/>
        </w:rPr>
        <w:t>SK-5</w:t>
      </w:r>
      <w:r w:rsidR="00ED6AD0">
        <w:t xml:space="preserve"> is a mixed cow-calf and cash crop operation located in Saskatchewan, Canada, within the Moist Mixed Grassland ecoregion. This farm has purebred and commercial </w:t>
      </w:r>
      <w:proofErr w:type="gramStart"/>
      <w:r w:rsidR="00ED6AD0">
        <w:t>animals, and</w:t>
      </w:r>
      <w:proofErr w:type="gramEnd"/>
      <w:r w:rsidR="00ED6AD0">
        <w:t xml:space="preserve"> maintains a beef cow herd of 135 head. The cow-calf enterprise is situated on 2,193 ac with dark brown chernozemic soils over glacial till. </w:t>
      </w:r>
      <w:r w:rsidR="00312E87">
        <w:t>The climate is semi-arid. Mean annual temperature is 2.5</w:t>
      </w:r>
      <w:r w:rsidR="00312E87">
        <w:rPr>
          <w:rFonts w:cstheme="minorHAnsi"/>
        </w:rPr>
        <w:t>°</w:t>
      </w:r>
      <w:r w:rsidR="00312E87">
        <w:t>C, and mean annual precipitation range is 350-400mm, with highest rainfall in May-June.</w:t>
      </w:r>
    </w:p>
    <w:p w14:paraId="6AEE7DC0" w14:textId="5FE50185" w:rsidR="00312E87" w:rsidRPr="00F27DB5" w:rsidRDefault="00DF75AC" w:rsidP="00F27DB5">
      <w:r w:rsidRPr="00DF75AC">
        <w:rPr>
          <w:b/>
        </w:rPr>
        <w:t>US-160-0</w:t>
      </w:r>
      <w:r w:rsidR="00312E87">
        <w:t xml:space="preserve"> is a mixed cow-calf and cash crop operation located in Kansas, United States. This farm keeps 159 head of beef cows to maintain its commercial herd. The cow-calf enterprise is situated on 1,721 ac with silt loam soils. The climate is dry semi-arid. Mean annual temperature is 6</w:t>
      </w:r>
      <w:r w:rsidR="00312E87">
        <w:rPr>
          <w:rFonts w:cstheme="minorHAnsi"/>
        </w:rPr>
        <w:t>°</w:t>
      </w:r>
      <w:r w:rsidR="00312E87">
        <w:t xml:space="preserve">C, and mean annual precipitation is 396mm. The main period of precipitation is April-September, peaking in June. </w:t>
      </w:r>
    </w:p>
    <w:p w14:paraId="7A3640C5" w14:textId="6251A6FD" w:rsidR="002D08A2" w:rsidRPr="006A722F" w:rsidRDefault="002D08A2" w:rsidP="002D08A2">
      <w:pPr>
        <w:pStyle w:val="Heading1"/>
        <w:rPr>
          <w:rFonts w:asciiTheme="minorHAnsi" w:hAnsiTheme="minorHAnsi" w:cstheme="minorHAnsi"/>
          <w:b/>
          <w:bCs/>
          <w:sz w:val="28"/>
          <w:szCs w:val="28"/>
        </w:rPr>
      </w:pPr>
      <w:r w:rsidRPr="006A722F">
        <w:rPr>
          <w:rFonts w:asciiTheme="minorHAnsi" w:hAnsiTheme="minorHAnsi" w:cstheme="minorHAnsi"/>
          <w:b/>
          <w:bCs/>
          <w:sz w:val="28"/>
          <w:szCs w:val="28"/>
        </w:rPr>
        <w:lastRenderedPageBreak/>
        <w:t>Production System and Physical Performance Indicators</w:t>
      </w:r>
    </w:p>
    <w:tbl>
      <w:tblPr>
        <w:tblStyle w:val="GridTable4-Accent1"/>
        <w:tblpPr w:leftFromText="180" w:rightFromText="180" w:vertAnchor="text" w:horzAnchor="page" w:tblpX="7506" w:tblpY="293"/>
        <w:tblOverlap w:val="never"/>
        <w:tblW w:w="7675" w:type="dxa"/>
        <w:tblLook w:val="04A0" w:firstRow="1" w:lastRow="0" w:firstColumn="1" w:lastColumn="0" w:noHBand="0" w:noVBand="1"/>
      </w:tblPr>
      <w:tblGrid>
        <w:gridCol w:w="4111"/>
        <w:gridCol w:w="1985"/>
        <w:gridCol w:w="1579"/>
      </w:tblGrid>
      <w:tr w:rsidR="00926B70" w14:paraId="304C3581" w14:textId="77777777" w:rsidTr="00A97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6810F9A" w14:textId="77777777" w:rsidR="00926B70" w:rsidRDefault="00926B70" w:rsidP="00A9787D">
            <w:pPr>
              <w:spacing w:line="360" w:lineRule="auto"/>
            </w:pPr>
          </w:p>
        </w:tc>
        <w:tc>
          <w:tcPr>
            <w:tcW w:w="1985" w:type="dxa"/>
            <w:vAlign w:val="center"/>
          </w:tcPr>
          <w:p w14:paraId="60406248" w14:textId="4CBD0EFF" w:rsidR="00926B70" w:rsidRDefault="00215A32" w:rsidP="00A9787D">
            <w:pPr>
              <w:spacing w:line="360" w:lineRule="auto"/>
              <w:jc w:val="center"/>
              <w:cnfStyle w:val="100000000000" w:firstRow="1" w:lastRow="0" w:firstColumn="0" w:lastColumn="0" w:oddVBand="0" w:evenVBand="0" w:oddHBand="0" w:evenHBand="0" w:firstRowFirstColumn="0" w:firstRowLastColumn="0" w:lastRowFirstColumn="0" w:lastRowLastColumn="0"/>
            </w:pPr>
            <w:r>
              <w:t>SK-5</w:t>
            </w:r>
          </w:p>
        </w:tc>
        <w:tc>
          <w:tcPr>
            <w:tcW w:w="1579" w:type="dxa"/>
            <w:vAlign w:val="center"/>
          </w:tcPr>
          <w:p w14:paraId="21074E1B" w14:textId="1707D6F3" w:rsidR="00926B70" w:rsidRDefault="00DF75AC" w:rsidP="00A9787D">
            <w:pPr>
              <w:spacing w:line="360" w:lineRule="auto"/>
              <w:jc w:val="center"/>
              <w:cnfStyle w:val="100000000000" w:firstRow="1" w:lastRow="0" w:firstColumn="0" w:lastColumn="0" w:oddVBand="0" w:evenVBand="0" w:oddHBand="0" w:evenHBand="0" w:firstRowFirstColumn="0" w:firstRowLastColumn="0" w:lastRowFirstColumn="0" w:lastRowLastColumn="0"/>
            </w:pPr>
            <w:r>
              <w:t>US-160-0</w:t>
            </w:r>
          </w:p>
        </w:tc>
      </w:tr>
      <w:tr w:rsidR="00A9787D" w14:paraId="72CEAEE8"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6AD6B94" w14:textId="77777777" w:rsidR="00A9787D" w:rsidRDefault="00A9787D" w:rsidP="00A9787D">
            <w:pPr>
              <w:spacing w:line="360" w:lineRule="auto"/>
            </w:pPr>
            <w:r>
              <w:t>Beef cows (</w:t>
            </w:r>
            <w:proofErr w:type="spellStart"/>
            <w:r>
              <w:t>hd</w:t>
            </w:r>
            <w:proofErr w:type="spellEnd"/>
            <w:r>
              <w:t>)</w:t>
            </w:r>
          </w:p>
        </w:tc>
        <w:tc>
          <w:tcPr>
            <w:tcW w:w="1985" w:type="dxa"/>
          </w:tcPr>
          <w:p w14:paraId="7605052C" w14:textId="231C5955"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135</w:t>
            </w:r>
          </w:p>
        </w:tc>
        <w:tc>
          <w:tcPr>
            <w:tcW w:w="1579" w:type="dxa"/>
          </w:tcPr>
          <w:p w14:paraId="39A4654B" w14:textId="119BDBFC"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159</w:t>
            </w:r>
          </w:p>
        </w:tc>
      </w:tr>
      <w:tr w:rsidR="00A9787D" w14:paraId="54DB8A54" w14:textId="77777777" w:rsidTr="00A9787D">
        <w:tc>
          <w:tcPr>
            <w:cnfStyle w:val="001000000000" w:firstRow="0" w:lastRow="0" w:firstColumn="1" w:lastColumn="0" w:oddVBand="0" w:evenVBand="0" w:oddHBand="0" w:evenHBand="0" w:firstRowFirstColumn="0" w:firstRowLastColumn="0" w:lastRowFirstColumn="0" w:lastRowLastColumn="0"/>
            <w:tcW w:w="4111" w:type="dxa"/>
          </w:tcPr>
          <w:p w14:paraId="7E18F11D" w14:textId="77777777" w:rsidR="00A9787D" w:rsidRDefault="00A9787D" w:rsidP="00A9787D">
            <w:pPr>
              <w:spacing w:line="360" w:lineRule="auto"/>
            </w:pPr>
            <w:r>
              <w:t>Breeds</w:t>
            </w:r>
          </w:p>
        </w:tc>
        <w:tc>
          <w:tcPr>
            <w:tcW w:w="1985" w:type="dxa"/>
          </w:tcPr>
          <w:p w14:paraId="1DE6E909" w14:textId="4FF78ED7" w:rsidR="00A9787D" w:rsidRPr="00B927A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rPr>
                <w:lang w:val="fr-FR"/>
              </w:rPr>
            </w:pPr>
            <w:r w:rsidRPr="00B927AD">
              <w:rPr>
                <w:rFonts w:ascii="Calibri" w:hAnsi="Calibri" w:cs="Calibri"/>
                <w:color w:val="000000"/>
                <w:lang w:val="fr-FR"/>
              </w:rPr>
              <w:t>Purebred Charolais Angus, Simmental; Commercial</w:t>
            </w:r>
          </w:p>
        </w:tc>
        <w:tc>
          <w:tcPr>
            <w:tcW w:w="1579" w:type="dxa"/>
          </w:tcPr>
          <w:p w14:paraId="3E86CFB8" w14:textId="46CC9B4E"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Crosses</w:t>
            </w:r>
          </w:p>
        </w:tc>
      </w:tr>
      <w:tr w:rsidR="00A9787D" w14:paraId="19315168"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556931C" w14:textId="1960231E" w:rsidR="00A9787D" w:rsidRDefault="00A9787D" w:rsidP="00A9787D">
            <w:pPr>
              <w:spacing w:line="360" w:lineRule="auto"/>
            </w:pPr>
            <w:r>
              <w:t>Mature cow weight (lb)</w:t>
            </w:r>
          </w:p>
        </w:tc>
        <w:tc>
          <w:tcPr>
            <w:tcW w:w="1985" w:type="dxa"/>
          </w:tcPr>
          <w:p w14:paraId="65563D6F" w14:textId="04310708"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w:t>
            </w:r>
            <w:r w:rsidR="00A24274">
              <w:rPr>
                <w:rFonts w:ascii="Calibri" w:hAnsi="Calibri" w:cs="Calibri"/>
                <w:color w:val="000000"/>
              </w:rPr>
              <w:t>300</w:t>
            </w:r>
          </w:p>
        </w:tc>
        <w:tc>
          <w:tcPr>
            <w:tcW w:w="1579" w:type="dxa"/>
          </w:tcPr>
          <w:p w14:paraId="387FC83B" w14:textId="4B2650DC"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1,200</w:t>
            </w:r>
          </w:p>
        </w:tc>
      </w:tr>
      <w:tr w:rsidR="00A9787D" w14:paraId="3051051A" w14:textId="77777777" w:rsidTr="00A9787D">
        <w:tc>
          <w:tcPr>
            <w:cnfStyle w:val="001000000000" w:firstRow="0" w:lastRow="0" w:firstColumn="1" w:lastColumn="0" w:oddVBand="0" w:evenVBand="0" w:oddHBand="0" w:evenHBand="0" w:firstRowFirstColumn="0" w:firstRowLastColumn="0" w:lastRowFirstColumn="0" w:lastRowLastColumn="0"/>
            <w:tcW w:w="4111" w:type="dxa"/>
          </w:tcPr>
          <w:p w14:paraId="140CD1AF" w14:textId="77777777" w:rsidR="00A9787D" w:rsidRDefault="00A9787D" w:rsidP="00A9787D">
            <w:pPr>
              <w:spacing w:line="360" w:lineRule="auto"/>
            </w:pPr>
            <w:r>
              <w:t>Weaning age (d)</w:t>
            </w:r>
          </w:p>
        </w:tc>
        <w:tc>
          <w:tcPr>
            <w:tcW w:w="1985" w:type="dxa"/>
          </w:tcPr>
          <w:p w14:paraId="4AD4E451" w14:textId="04FB69D6"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179</w:t>
            </w:r>
          </w:p>
        </w:tc>
        <w:tc>
          <w:tcPr>
            <w:tcW w:w="1579" w:type="dxa"/>
          </w:tcPr>
          <w:p w14:paraId="6447C4AD" w14:textId="3C17E234"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210</w:t>
            </w:r>
          </w:p>
        </w:tc>
      </w:tr>
      <w:tr w:rsidR="00A9787D" w14:paraId="6EA2B8AC"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F3D91A2" w14:textId="071306E0" w:rsidR="00A9787D" w:rsidRDefault="00A9787D" w:rsidP="00A9787D">
            <w:pPr>
              <w:spacing w:line="360" w:lineRule="auto"/>
            </w:pPr>
            <w:r>
              <w:t>Weaning weight (lb)</w:t>
            </w:r>
          </w:p>
        </w:tc>
        <w:tc>
          <w:tcPr>
            <w:tcW w:w="1985" w:type="dxa"/>
          </w:tcPr>
          <w:p w14:paraId="6808CFDD" w14:textId="69EE7C22"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611</w:t>
            </w:r>
          </w:p>
        </w:tc>
        <w:tc>
          <w:tcPr>
            <w:tcW w:w="1579" w:type="dxa"/>
          </w:tcPr>
          <w:p w14:paraId="351B2D39" w14:textId="7D1D0A67"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650</w:t>
            </w:r>
          </w:p>
        </w:tc>
      </w:tr>
      <w:tr w:rsidR="00A9787D" w14:paraId="4466FCC6" w14:textId="77777777" w:rsidTr="00A9787D">
        <w:tc>
          <w:tcPr>
            <w:cnfStyle w:val="001000000000" w:firstRow="0" w:lastRow="0" w:firstColumn="1" w:lastColumn="0" w:oddVBand="0" w:evenVBand="0" w:oddHBand="0" w:evenHBand="0" w:firstRowFirstColumn="0" w:firstRowLastColumn="0" w:lastRowFirstColumn="0" w:lastRowLastColumn="0"/>
            <w:tcW w:w="4111" w:type="dxa"/>
          </w:tcPr>
          <w:p w14:paraId="73939DEF" w14:textId="31BE22C1" w:rsidR="00A9787D" w:rsidRPr="00886861" w:rsidRDefault="00A9787D" w:rsidP="00A9787D">
            <w:pPr>
              <w:spacing w:line="360" w:lineRule="auto"/>
              <w:rPr>
                <w:b w:val="0"/>
                <w:bCs w:val="0"/>
              </w:rPr>
            </w:pPr>
            <w:r>
              <w:t>200 day adjusted weaning weight (lb)</w:t>
            </w:r>
          </w:p>
        </w:tc>
        <w:tc>
          <w:tcPr>
            <w:tcW w:w="1985" w:type="dxa"/>
          </w:tcPr>
          <w:p w14:paraId="011ED8FB" w14:textId="19C51BA2"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682</w:t>
            </w:r>
          </w:p>
        </w:tc>
        <w:tc>
          <w:tcPr>
            <w:tcW w:w="1579" w:type="dxa"/>
          </w:tcPr>
          <w:p w14:paraId="1776D21A" w14:textId="39C1C4FB"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619</w:t>
            </w:r>
          </w:p>
        </w:tc>
      </w:tr>
      <w:tr w:rsidR="00A9787D" w14:paraId="31480FBF"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DFC084A" w14:textId="77777777" w:rsidR="00A9787D" w:rsidRDefault="00A9787D" w:rsidP="00A9787D">
            <w:pPr>
              <w:spacing w:line="360" w:lineRule="auto"/>
            </w:pPr>
            <w:r>
              <w:t>Weaning weight as % mature cow weight</w:t>
            </w:r>
          </w:p>
        </w:tc>
        <w:tc>
          <w:tcPr>
            <w:tcW w:w="1985" w:type="dxa"/>
          </w:tcPr>
          <w:p w14:paraId="08D6E4A4" w14:textId="3451B5A5"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w:t>
            </w:r>
            <w:r w:rsidR="00A24274">
              <w:rPr>
                <w:rFonts w:ascii="Calibri" w:hAnsi="Calibri" w:cs="Calibri"/>
                <w:color w:val="000000"/>
              </w:rPr>
              <w:t>7</w:t>
            </w:r>
          </w:p>
        </w:tc>
        <w:tc>
          <w:tcPr>
            <w:tcW w:w="1579" w:type="dxa"/>
          </w:tcPr>
          <w:p w14:paraId="370E0E51" w14:textId="1E56A62C"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54</w:t>
            </w:r>
          </w:p>
        </w:tc>
      </w:tr>
      <w:tr w:rsidR="00A9787D" w14:paraId="6A7C6784" w14:textId="77777777" w:rsidTr="00A9787D">
        <w:tc>
          <w:tcPr>
            <w:cnfStyle w:val="001000000000" w:firstRow="0" w:lastRow="0" w:firstColumn="1" w:lastColumn="0" w:oddVBand="0" w:evenVBand="0" w:oddHBand="0" w:evenHBand="0" w:firstRowFirstColumn="0" w:firstRowLastColumn="0" w:lastRowFirstColumn="0" w:lastRowLastColumn="0"/>
            <w:tcW w:w="4111" w:type="dxa"/>
          </w:tcPr>
          <w:p w14:paraId="55C754C3" w14:textId="30C73999" w:rsidR="00A9787D" w:rsidRDefault="00A9787D" w:rsidP="00A9787D">
            <w:pPr>
              <w:spacing w:line="360" w:lineRule="auto"/>
            </w:pPr>
            <w:r>
              <w:t>Calf death loss</w:t>
            </w:r>
          </w:p>
        </w:tc>
        <w:tc>
          <w:tcPr>
            <w:tcW w:w="1985" w:type="dxa"/>
          </w:tcPr>
          <w:p w14:paraId="5B0BAF54" w14:textId="214DCE61"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3.0%</w:t>
            </w:r>
          </w:p>
        </w:tc>
        <w:tc>
          <w:tcPr>
            <w:tcW w:w="1579" w:type="dxa"/>
          </w:tcPr>
          <w:p w14:paraId="6A521855" w14:textId="40F3181C"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5.0%</w:t>
            </w:r>
          </w:p>
        </w:tc>
      </w:tr>
      <w:tr w:rsidR="00A9787D" w14:paraId="0EE4DAE0"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490CF74" w14:textId="77777777" w:rsidR="00A9787D" w:rsidRDefault="00A9787D" w:rsidP="00A9787D">
            <w:pPr>
              <w:spacing w:line="360" w:lineRule="auto"/>
            </w:pPr>
            <w:r>
              <w:t>Calves weaned per 100 cows (</w:t>
            </w:r>
            <w:proofErr w:type="spellStart"/>
            <w:r>
              <w:t>hd</w:t>
            </w:r>
            <w:proofErr w:type="spellEnd"/>
            <w:r>
              <w:t>)</w:t>
            </w:r>
          </w:p>
        </w:tc>
        <w:tc>
          <w:tcPr>
            <w:tcW w:w="1985" w:type="dxa"/>
          </w:tcPr>
          <w:p w14:paraId="32737068" w14:textId="1A5DA39E"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89</w:t>
            </w:r>
          </w:p>
        </w:tc>
        <w:tc>
          <w:tcPr>
            <w:tcW w:w="1579" w:type="dxa"/>
          </w:tcPr>
          <w:p w14:paraId="11AC0267" w14:textId="155A92DB"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92</w:t>
            </w:r>
          </w:p>
        </w:tc>
      </w:tr>
      <w:tr w:rsidR="00A9787D" w14:paraId="323BD16F" w14:textId="77777777" w:rsidTr="00A9787D">
        <w:tc>
          <w:tcPr>
            <w:cnfStyle w:val="001000000000" w:firstRow="0" w:lastRow="0" w:firstColumn="1" w:lastColumn="0" w:oddVBand="0" w:evenVBand="0" w:oddHBand="0" w:evenHBand="0" w:firstRowFirstColumn="0" w:firstRowLastColumn="0" w:lastRowFirstColumn="0" w:lastRowLastColumn="0"/>
            <w:tcW w:w="4111" w:type="dxa"/>
          </w:tcPr>
          <w:p w14:paraId="7CAD725A" w14:textId="77777777" w:rsidR="00A9787D" w:rsidRDefault="00A9787D" w:rsidP="00A9787D">
            <w:pPr>
              <w:spacing w:line="360" w:lineRule="auto"/>
            </w:pPr>
            <w:r>
              <w:t>Replacement rate (%)</w:t>
            </w:r>
          </w:p>
        </w:tc>
        <w:tc>
          <w:tcPr>
            <w:tcW w:w="1985" w:type="dxa"/>
          </w:tcPr>
          <w:p w14:paraId="2508E2A1" w14:textId="049D421A"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13.5%</w:t>
            </w:r>
          </w:p>
        </w:tc>
        <w:tc>
          <w:tcPr>
            <w:tcW w:w="1579" w:type="dxa"/>
          </w:tcPr>
          <w:p w14:paraId="60EAFEBF" w14:textId="1FFD9758"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12.0%</w:t>
            </w:r>
          </w:p>
        </w:tc>
      </w:tr>
      <w:tr w:rsidR="00A9787D" w14:paraId="53D60372"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DACE4D3" w14:textId="6873A438" w:rsidR="00A9787D" w:rsidRDefault="00A9787D" w:rsidP="00A9787D">
            <w:pPr>
              <w:spacing w:line="360" w:lineRule="auto"/>
            </w:pPr>
            <w:r w:rsidRPr="008B2D32">
              <w:t xml:space="preserve">Price per head for </w:t>
            </w:r>
            <w:r w:rsidRPr="005667F0">
              <w:t>weaners</w:t>
            </w:r>
            <w:r w:rsidRPr="008B2D32">
              <w:t xml:space="preserve"> sold ($/</w:t>
            </w:r>
            <w:proofErr w:type="spellStart"/>
            <w:r w:rsidRPr="008B2D32">
              <w:t>hd</w:t>
            </w:r>
            <w:proofErr w:type="spellEnd"/>
            <w:r w:rsidRPr="008B2D32">
              <w:t>)</w:t>
            </w:r>
          </w:p>
        </w:tc>
        <w:tc>
          <w:tcPr>
            <w:tcW w:w="1985" w:type="dxa"/>
          </w:tcPr>
          <w:p w14:paraId="4CD36C43" w14:textId="44050514"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1,182</w:t>
            </w:r>
          </w:p>
        </w:tc>
        <w:tc>
          <w:tcPr>
            <w:tcW w:w="1579" w:type="dxa"/>
          </w:tcPr>
          <w:p w14:paraId="65ED189C" w14:textId="2020D133"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1,123</w:t>
            </w:r>
          </w:p>
        </w:tc>
      </w:tr>
      <w:tr w:rsidR="00A9787D" w14:paraId="31E2D5F2" w14:textId="77777777" w:rsidTr="00A9787D">
        <w:tc>
          <w:tcPr>
            <w:cnfStyle w:val="001000000000" w:firstRow="0" w:lastRow="0" w:firstColumn="1" w:lastColumn="0" w:oddVBand="0" w:evenVBand="0" w:oddHBand="0" w:evenHBand="0" w:firstRowFirstColumn="0" w:firstRowLastColumn="0" w:lastRowFirstColumn="0" w:lastRowLastColumn="0"/>
            <w:tcW w:w="4111" w:type="dxa"/>
          </w:tcPr>
          <w:p w14:paraId="037A92EE" w14:textId="7E8836C4" w:rsidR="00A9787D" w:rsidRPr="008B2D32" w:rsidRDefault="00A9787D" w:rsidP="00A9787D">
            <w:pPr>
              <w:spacing w:line="360" w:lineRule="auto"/>
            </w:pPr>
            <w:r>
              <w:t>Feed purchased (%)</w:t>
            </w:r>
          </w:p>
        </w:tc>
        <w:tc>
          <w:tcPr>
            <w:tcW w:w="1985" w:type="dxa"/>
          </w:tcPr>
          <w:p w14:paraId="10637487" w14:textId="3A2EEA43"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w:t>
            </w:r>
          </w:p>
        </w:tc>
        <w:tc>
          <w:tcPr>
            <w:tcW w:w="1579" w:type="dxa"/>
          </w:tcPr>
          <w:p w14:paraId="527A1E22" w14:textId="34DDE1FC" w:rsidR="00A9787D" w:rsidRDefault="00A9787D" w:rsidP="00A9787D">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w:t>
            </w:r>
          </w:p>
        </w:tc>
      </w:tr>
      <w:tr w:rsidR="00A9787D" w14:paraId="052E2313" w14:textId="77777777" w:rsidTr="00A97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B98181E" w14:textId="19065011" w:rsidR="00A9787D" w:rsidRDefault="00A9787D" w:rsidP="00A9787D">
            <w:pPr>
              <w:spacing w:line="360" w:lineRule="auto"/>
            </w:pPr>
            <w:r>
              <w:t>Income sources</w:t>
            </w:r>
          </w:p>
        </w:tc>
        <w:tc>
          <w:tcPr>
            <w:tcW w:w="1985" w:type="dxa"/>
          </w:tcPr>
          <w:p w14:paraId="04E1FA43" w14:textId="12C16C5B"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Cow-calf, crop</w:t>
            </w:r>
          </w:p>
        </w:tc>
        <w:tc>
          <w:tcPr>
            <w:tcW w:w="1579" w:type="dxa"/>
          </w:tcPr>
          <w:p w14:paraId="6C4A9B21" w14:textId="2166A51E" w:rsidR="00A9787D" w:rsidRDefault="00A9787D" w:rsidP="00A9787D">
            <w:pPr>
              <w:spacing w:line="360" w:lineRule="auto"/>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Cow-calf, crop</w:t>
            </w:r>
          </w:p>
        </w:tc>
      </w:tr>
    </w:tbl>
    <w:p w14:paraId="070E4D52" w14:textId="0EB932D5" w:rsidR="00F65924" w:rsidRDefault="004E4243" w:rsidP="00215A32">
      <w:pPr>
        <w:pStyle w:val="Heading2"/>
        <w:spacing w:before="120" w:line="360" w:lineRule="auto"/>
        <w:rPr>
          <w:rFonts w:asciiTheme="minorHAnsi" w:hAnsiTheme="minorHAnsi" w:cstheme="minorHAnsi"/>
          <w:lang w:eastAsia="en-CA"/>
        </w:rPr>
      </w:pPr>
      <w:r>
        <w:rPr>
          <w:rFonts w:asciiTheme="minorHAnsi" w:hAnsiTheme="minorHAnsi" w:cstheme="minorHAnsi"/>
          <w:lang w:eastAsia="en-CA"/>
        </w:rPr>
        <w:t>Similarities</w:t>
      </w:r>
    </w:p>
    <w:p w14:paraId="71DFDA16" w14:textId="777846FE" w:rsidR="008E4AAA" w:rsidRPr="008E4AAA" w:rsidRDefault="008E4AAA" w:rsidP="008E4AAA">
      <w:pPr>
        <w:rPr>
          <w:lang w:eastAsia="en-CA"/>
        </w:rPr>
      </w:pPr>
      <w:r>
        <w:rPr>
          <w:lang w:eastAsia="en-CA"/>
        </w:rPr>
        <w:t xml:space="preserve">Comparison of </w:t>
      </w:r>
      <w:r w:rsidR="00DF75AC" w:rsidRPr="00DF75AC">
        <w:rPr>
          <w:b/>
          <w:lang w:eastAsia="en-CA"/>
        </w:rPr>
        <w:t>SK-5</w:t>
      </w:r>
      <w:r>
        <w:rPr>
          <w:lang w:eastAsia="en-CA"/>
        </w:rPr>
        <w:t xml:space="preserve"> and </w:t>
      </w:r>
      <w:r w:rsidR="00DF75AC" w:rsidRPr="00DF75AC">
        <w:rPr>
          <w:b/>
          <w:lang w:eastAsia="en-CA"/>
        </w:rPr>
        <w:t>US-160-0</w:t>
      </w:r>
      <w:r>
        <w:rPr>
          <w:lang w:eastAsia="en-CA"/>
        </w:rPr>
        <w:t xml:space="preserve"> was chosen as these are mixed cow-calf and cash crop operations with medium sized herds, under similar climatic conditions for crop production. </w:t>
      </w:r>
    </w:p>
    <w:p w14:paraId="715A20A4" w14:textId="07F8D1C0" w:rsidR="005C3CCA" w:rsidRDefault="002B0EA4" w:rsidP="004577B5">
      <w:pPr>
        <w:pStyle w:val="Heading2"/>
        <w:spacing w:before="120" w:line="360" w:lineRule="auto"/>
        <w:rPr>
          <w:rFonts w:asciiTheme="minorHAnsi" w:hAnsiTheme="minorHAnsi" w:cstheme="minorHAnsi"/>
          <w:lang w:eastAsia="en-CA"/>
        </w:rPr>
      </w:pPr>
      <w:r>
        <w:rPr>
          <w:rFonts w:asciiTheme="minorHAnsi" w:hAnsiTheme="minorHAnsi" w:cstheme="minorHAnsi"/>
          <w:lang w:eastAsia="en-CA"/>
        </w:rPr>
        <w:t xml:space="preserve">Cow </w:t>
      </w:r>
      <w:r w:rsidR="002469EB">
        <w:rPr>
          <w:rFonts w:asciiTheme="minorHAnsi" w:hAnsiTheme="minorHAnsi" w:cstheme="minorHAnsi"/>
          <w:lang w:eastAsia="en-CA"/>
        </w:rPr>
        <w:t>P</w:t>
      </w:r>
      <w:r>
        <w:rPr>
          <w:rFonts w:asciiTheme="minorHAnsi" w:hAnsiTheme="minorHAnsi" w:cstheme="minorHAnsi"/>
          <w:lang w:eastAsia="en-CA"/>
        </w:rPr>
        <w:t xml:space="preserve">erformance and </w:t>
      </w:r>
      <w:r w:rsidR="002469EB">
        <w:rPr>
          <w:rFonts w:asciiTheme="minorHAnsi" w:hAnsiTheme="minorHAnsi" w:cstheme="minorHAnsi"/>
          <w:lang w:eastAsia="en-CA"/>
        </w:rPr>
        <w:t>W</w:t>
      </w:r>
      <w:r>
        <w:rPr>
          <w:rFonts w:asciiTheme="minorHAnsi" w:hAnsiTheme="minorHAnsi" w:cstheme="minorHAnsi"/>
          <w:lang w:eastAsia="en-CA"/>
        </w:rPr>
        <w:t>eaning</w:t>
      </w:r>
    </w:p>
    <w:p w14:paraId="6F935D3B" w14:textId="37C50C2E" w:rsidR="008E4AAA" w:rsidRDefault="008E4AAA" w:rsidP="008E4AAA">
      <w:pPr>
        <w:rPr>
          <w:lang w:eastAsia="en-CA"/>
        </w:rPr>
      </w:pPr>
      <w:r>
        <w:rPr>
          <w:lang w:eastAsia="en-CA"/>
        </w:rPr>
        <w:t xml:space="preserve">Mature cow weight on </w:t>
      </w:r>
      <w:r w:rsidR="00DF75AC" w:rsidRPr="00DF75AC">
        <w:rPr>
          <w:b/>
          <w:lang w:eastAsia="en-CA"/>
        </w:rPr>
        <w:t>SK-5</w:t>
      </w:r>
      <w:r>
        <w:rPr>
          <w:lang w:eastAsia="en-CA"/>
        </w:rPr>
        <w:t xml:space="preserve"> is 1,499 lb, 25% heavier than the 1,200 lb mature cows on </w:t>
      </w:r>
      <w:r w:rsidR="00DF75AC" w:rsidRPr="00DF75AC">
        <w:rPr>
          <w:b/>
          <w:lang w:eastAsia="en-CA"/>
        </w:rPr>
        <w:t>US-160-0</w:t>
      </w:r>
      <w:r>
        <w:rPr>
          <w:lang w:eastAsia="en-CA"/>
        </w:rPr>
        <w:t xml:space="preserve">. </w:t>
      </w:r>
      <w:r w:rsidR="00DF75AC" w:rsidRPr="00DF75AC">
        <w:rPr>
          <w:b/>
          <w:lang w:eastAsia="en-CA"/>
        </w:rPr>
        <w:t>SK-5</w:t>
      </w:r>
      <w:r>
        <w:rPr>
          <w:lang w:eastAsia="en-CA"/>
        </w:rPr>
        <w:t xml:space="preserve"> weans calves approximately 4.5 weeks younger, at a lighter weight, and therefor at a lower percentage of mature cow weight, than on </w:t>
      </w:r>
      <w:r w:rsidR="00DF75AC" w:rsidRPr="00DF75AC">
        <w:rPr>
          <w:b/>
          <w:lang w:eastAsia="en-CA"/>
        </w:rPr>
        <w:t>US-160-0</w:t>
      </w:r>
      <w:r>
        <w:rPr>
          <w:lang w:eastAsia="en-CA"/>
        </w:rPr>
        <w:t xml:space="preserve">. The 200d adjusted weaning weights (682 lb on </w:t>
      </w:r>
      <w:r w:rsidR="00DF75AC" w:rsidRPr="00DF75AC">
        <w:rPr>
          <w:b/>
          <w:lang w:eastAsia="en-CA"/>
        </w:rPr>
        <w:t>SK-5</w:t>
      </w:r>
      <w:r>
        <w:rPr>
          <w:lang w:eastAsia="en-CA"/>
        </w:rPr>
        <w:t xml:space="preserve">, 619 lb on </w:t>
      </w:r>
      <w:r w:rsidR="00DF75AC" w:rsidRPr="00DF75AC">
        <w:rPr>
          <w:b/>
          <w:lang w:eastAsia="en-CA"/>
        </w:rPr>
        <w:t>US-160-0</w:t>
      </w:r>
      <w:r>
        <w:rPr>
          <w:lang w:eastAsia="en-CA"/>
        </w:rPr>
        <w:t xml:space="preserve">), though, show heavier calves on </w:t>
      </w:r>
      <w:r w:rsidR="00DF75AC" w:rsidRPr="00DF75AC">
        <w:rPr>
          <w:b/>
          <w:lang w:eastAsia="en-CA"/>
        </w:rPr>
        <w:t>SK-5</w:t>
      </w:r>
      <w:r w:rsidR="007555AF">
        <w:rPr>
          <w:lang w:eastAsia="en-CA"/>
        </w:rPr>
        <w:t>.</w:t>
      </w:r>
    </w:p>
    <w:p w14:paraId="65BBC082" w14:textId="5389BEEE" w:rsidR="007555AF" w:rsidRPr="008E4AAA" w:rsidRDefault="009D3C04" w:rsidP="008E4AAA">
      <w:pPr>
        <w:rPr>
          <w:lang w:eastAsia="en-CA"/>
        </w:rPr>
      </w:pPr>
      <w:r>
        <w:rPr>
          <w:lang w:eastAsia="en-CA"/>
        </w:rPr>
        <w:t xml:space="preserve">Calf death loss is slightly higher on </w:t>
      </w:r>
      <w:r w:rsidR="00DF75AC" w:rsidRPr="00DF75AC">
        <w:rPr>
          <w:b/>
          <w:lang w:eastAsia="en-CA"/>
        </w:rPr>
        <w:t>US-160-0</w:t>
      </w:r>
      <w:r>
        <w:rPr>
          <w:lang w:eastAsia="en-CA"/>
        </w:rPr>
        <w:t xml:space="preserve"> (5.0%) than on </w:t>
      </w:r>
      <w:r w:rsidR="00DF75AC" w:rsidRPr="00DF75AC">
        <w:rPr>
          <w:b/>
          <w:lang w:eastAsia="en-CA"/>
        </w:rPr>
        <w:t>SK-5</w:t>
      </w:r>
      <w:r>
        <w:rPr>
          <w:lang w:eastAsia="en-CA"/>
        </w:rPr>
        <w:t xml:space="preserve"> (3.0%), though </w:t>
      </w:r>
      <w:r w:rsidR="00DF75AC" w:rsidRPr="00DF75AC">
        <w:rPr>
          <w:b/>
          <w:lang w:eastAsia="en-CA"/>
        </w:rPr>
        <w:t>US-160-0</w:t>
      </w:r>
      <w:r>
        <w:rPr>
          <w:lang w:eastAsia="en-CA"/>
        </w:rPr>
        <w:t xml:space="preserve"> weans more calves per 100 cows (92) than </w:t>
      </w:r>
      <w:r w:rsidR="00DF75AC" w:rsidRPr="00DF75AC">
        <w:rPr>
          <w:b/>
          <w:lang w:eastAsia="en-CA"/>
        </w:rPr>
        <w:t>SK-5</w:t>
      </w:r>
      <w:r>
        <w:rPr>
          <w:lang w:eastAsia="en-CA"/>
        </w:rPr>
        <w:t xml:space="preserve"> (89). This may suggest differences in fertility between farms. A slightly higher calving percentage on </w:t>
      </w:r>
      <w:r w:rsidR="00DF75AC" w:rsidRPr="00DF75AC">
        <w:rPr>
          <w:b/>
          <w:lang w:eastAsia="en-CA"/>
        </w:rPr>
        <w:t>US-160-0</w:t>
      </w:r>
      <w:r>
        <w:rPr>
          <w:lang w:eastAsia="en-CA"/>
        </w:rPr>
        <w:t xml:space="preserve"> (96%) as compared to </w:t>
      </w:r>
      <w:r w:rsidR="00DF75AC" w:rsidRPr="00DF75AC">
        <w:rPr>
          <w:b/>
          <w:lang w:eastAsia="en-CA"/>
        </w:rPr>
        <w:t>SK-5</w:t>
      </w:r>
      <w:r>
        <w:rPr>
          <w:lang w:eastAsia="en-CA"/>
        </w:rPr>
        <w:t xml:space="preserve"> (92%) may support this.</w:t>
      </w:r>
    </w:p>
    <w:p w14:paraId="29A33847" w14:textId="4D237973" w:rsidR="005C3CCA" w:rsidRDefault="008A4E50" w:rsidP="004577B5">
      <w:pPr>
        <w:pStyle w:val="Heading2"/>
        <w:spacing w:before="120" w:line="259" w:lineRule="auto"/>
        <w:rPr>
          <w:rFonts w:asciiTheme="minorHAnsi" w:hAnsiTheme="minorHAnsi" w:cstheme="minorHAnsi"/>
          <w:lang w:eastAsia="en-CA"/>
        </w:rPr>
      </w:pPr>
      <w:r w:rsidRPr="007E6CBF">
        <w:rPr>
          <w:rFonts w:asciiTheme="minorHAnsi" w:hAnsiTheme="minorHAnsi" w:cstheme="minorHAnsi"/>
          <w:lang w:eastAsia="en-CA"/>
        </w:rPr>
        <w:t xml:space="preserve">Cattle </w:t>
      </w:r>
      <w:r w:rsidR="002469EB" w:rsidRPr="007E6CBF">
        <w:rPr>
          <w:rFonts w:asciiTheme="minorHAnsi" w:hAnsiTheme="minorHAnsi" w:cstheme="minorHAnsi"/>
          <w:lang w:eastAsia="en-CA"/>
        </w:rPr>
        <w:t>S</w:t>
      </w:r>
      <w:r w:rsidRPr="007E6CBF">
        <w:rPr>
          <w:rFonts w:asciiTheme="minorHAnsi" w:hAnsiTheme="minorHAnsi" w:cstheme="minorHAnsi"/>
          <w:lang w:eastAsia="en-CA"/>
        </w:rPr>
        <w:t>ales and</w:t>
      </w:r>
      <w:r w:rsidR="005C3CCA" w:rsidRPr="007E6CBF">
        <w:rPr>
          <w:rFonts w:asciiTheme="minorHAnsi" w:hAnsiTheme="minorHAnsi" w:cstheme="minorHAnsi"/>
          <w:lang w:eastAsia="en-CA"/>
        </w:rPr>
        <w:t xml:space="preserve"> </w:t>
      </w:r>
      <w:r w:rsidR="002469EB" w:rsidRPr="007E6CBF">
        <w:rPr>
          <w:rFonts w:asciiTheme="minorHAnsi" w:hAnsiTheme="minorHAnsi" w:cstheme="minorHAnsi"/>
          <w:lang w:eastAsia="en-CA"/>
        </w:rPr>
        <w:t>P</w:t>
      </w:r>
      <w:r w:rsidRPr="007E6CBF">
        <w:rPr>
          <w:rFonts w:asciiTheme="minorHAnsi" w:hAnsiTheme="minorHAnsi" w:cstheme="minorHAnsi"/>
          <w:lang w:eastAsia="en-CA"/>
        </w:rPr>
        <w:t>rices</w:t>
      </w:r>
    </w:p>
    <w:p w14:paraId="64F710C2" w14:textId="7AAFADB1" w:rsidR="009D3C04" w:rsidRPr="009D3C04" w:rsidRDefault="009D3C04" w:rsidP="009D3C04">
      <w:pPr>
        <w:rPr>
          <w:lang w:eastAsia="en-CA"/>
        </w:rPr>
      </w:pPr>
      <w:r>
        <w:rPr>
          <w:lang w:eastAsia="en-CA"/>
        </w:rPr>
        <w:t xml:space="preserve">Both </w:t>
      </w:r>
      <w:r w:rsidR="00DF75AC" w:rsidRPr="00DF75AC">
        <w:rPr>
          <w:b/>
          <w:lang w:eastAsia="en-CA"/>
        </w:rPr>
        <w:t>SK-5</w:t>
      </w:r>
      <w:r>
        <w:rPr>
          <w:lang w:eastAsia="en-CA"/>
        </w:rPr>
        <w:t xml:space="preserve"> and </w:t>
      </w:r>
      <w:r w:rsidR="00DF75AC" w:rsidRPr="00DF75AC">
        <w:rPr>
          <w:b/>
          <w:lang w:eastAsia="en-CA"/>
        </w:rPr>
        <w:t>US-160-0</w:t>
      </w:r>
      <w:r>
        <w:rPr>
          <w:lang w:eastAsia="en-CA"/>
        </w:rPr>
        <w:t xml:space="preserve"> sell calves at weaning. </w:t>
      </w:r>
      <w:r w:rsidR="00DF75AC" w:rsidRPr="00DF75AC">
        <w:rPr>
          <w:b/>
          <w:lang w:eastAsia="en-CA"/>
        </w:rPr>
        <w:t>SK-5</w:t>
      </w:r>
      <w:r>
        <w:rPr>
          <w:lang w:eastAsia="en-CA"/>
        </w:rPr>
        <w:t xml:space="preserve"> sells weaned calves at 611 lb, at an average price of $1,182/head.</w:t>
      </w:r>
      <w:r w:rsidR="0067390A">
        <w:rPr>
          <w:lang w:eastAsia="en-CA"/>
        </w:rPr>
        <w:t xml:space="preserve"> On </w:t>
      </w:r>
      <w:r w:rsidR="00DF75AC" w:rsidRPr="00DF75AC">
        <w:rPr>
          <w:b/>
          <w:lang w:eastAsia="en-CA"/>
        </w:rPr>
        <w:t>US-160-0</w:t>
      </w:r>
      <w:r w:rsidR="0067390A">
        <w:rPr>
          <w:lang w:eastAsia="en-CA"/>
        </w:rPr>
        <w:t xml:space="preserve">, weaners at sold at 650 lb for an average price of $1,123/head. This is </w:t>
      </w:r>
      <w:r w:rsidR="00001A2D">
        <w:rPr>
          <w:lang w:eastAsia="en-CA"/>
        </w:rPr>
        <w:t xml:space="preserve">5% less than prices received on </w:t>
      </w:r>
      <w:r w:rsidR="00DF75AC" w:rsidRPr="00DF75AC">
        <w:rPr>
          <w:b/>
          <w:lang w:eastAsia="en-CA"/>
        </w:rPr>
        <w:t>SK-5</w:t>
      </w:r>
      <w:r w:rsidR="00001A2D">
        <w:rPr>
          <w:lang w:eastAsia="en-CA"/>
        </w:rPr>
        <w:t>, despite a 6% larger sale weight.</w:t>
      </w:r>
      <w:r w:rsidR="0067390A">
        <w:rPr>
          <w:lang w:eastAsia="en-CA"/>
        </w:rPr>
        <w:t xml:space="preserve"> </w:t>
      </w:r>
    </w:p>
    <w:p w14:paraId="334958DE" w14:textId="016AA851" w:rsidR="002B0EA4" w:rsidRPr="00E25614" w:rsidRDefault="002B0EA4" w:rsidP="004577B5">
      <w:pPr>
        <w:pStyle w:val="Heading2"/>
        <w:spacing w:before="120" w:line="259" w:lineRule="auto"/>
        <w:rPr>
          <w:rFonts w:asciiTheme="minorHAnsi" w:hAnsiTheme="minorHAnsi" w:cstheme="minorHAnsi"/>
          <w:b/>
          <w:bCs/>
          <w:lang w:eastAsia="en-CA"/>
        </w:rPr>
      </w:pPr>
      <w:r w:rsidRPr="00182EDC">
        <w:rPr>
          <w:rFonts w:asciiTheme="minorHAnsi" w:hAnsiTheme="minorHAnsi" w:cstheme="minorHAnsi"/>
          <w:lang w:eastAsia="en-CA"/>
        </w:rPr>
        <w:t>Feed</w:t>
      </w:r>
      <w:r w:rsidR="00182EDC" w:rsidRPr="00182EDC">
        <w:rPr>
          <w:rFonts w:asciiTheme="minorHAnsi" w:hAnsiTheme="minorHAnsi" w:cstheme="minorHAnsi"/>
          <w:lang w:eastAsia="en-CA"/>
        </w:rPr>
        <w:t>ing</w:t>
      </w:r>
    </w:p>
    <w:p w14:paraId="52667E3F" w14:textId="2D5E92A7" w:rsidR="00E7284A" w:rsidRDefault="00001A2D" w:rsidP="004577B5">
      <w:r>
        <w:t xml:space="preserve">On </w:t>
      </w:r>
      <w:r w:rsidR="00DF75AC" w:rsidRPr="00DF75AC">
        <w:rPr>
          <w:b/>
        </w:rPr>
        <w:t>SK-5</w:t>
      </w:r>
      <w:r>
        <w:t xml:space="preserve">, following a period of aftermath grazing in fall, cows receive a winter diet consisting of cereal silage, hay, straw and chaff, </w:t>
      </w:r>
      <w:r w:rsidR="00D0206B">
        <w:t xml:space="preserve">cereal screening, camelina meal, salt, and mineral. Winter diets are provided on pasture. On </w:t>
      </w:r>
      <w:r w:rsidR="00DF75AC" w:rsidRPr="00DF75AC">
        <w:rPr>
          <w:b/>
        </w:rPr>
        <w:t>US-160-0</w:t>
      </w:r>
      <w:r w:rsidR="00D0206B">
        <w:t xml:space="preserve">, cows graze throughout the year, but are supplemented with grass hay/silage in winter (55%). </w:t>
      </w:r>
      <w:r w:rsidR="00DF75AC" w:rsidRPr="00DF75AC">
        <w:rPr>
          <w:b/>
        </w:rPr>
        <w:t>SK-5</w:t>
      </w:r>
      <w:r w:rsidR="00D0206B">
        <w:t xml:space="preserve"> purchases 30% of feedstuffs provided, and </w:t>
      </w:r>
      <w:r w:rsidR="00DF75AC" w:rsidRPr="00DF75AC">
        <w:rPr>
          <w:b/>
        </w:rPr>
        <w:t>US-160-0</w:t>
      </w:r>
      <w:r w:rsidR="00D0206B">
        <w:t xml:space="preserve"> purchases 7%.</w:t>
      </w:r>
      <w:r w:rsidR="00E7284A">
        <w:br w:type="page"/>
      </w:r>
    </w:p>
    <w:tbl>
      <w:tblPr>
        <w:tblStyle w:val="GridTable4-Accent1"/>
        <w:tblpPr w:leftFromText="180" w:rightFromText="180" w:vertAnchor="text" w:horzAnchor="margin" w:tblpXSpec="right" w:tblpY="67"/>
        <w:tblW w:w="0" w:type="auto"/>
        <w:tblLook w:val="04A0" w:firstRow="1" w:lastRow="0" w:firstColumn="1" w:lastColumn="0" w:noHBand="0" w:noVBand="1"/>
      </w:tblPr>
      <w:tblGrid>
        <w:gridCol w:w="2127"/>
        <w:gridCol w:w="850"/>
        <w:gridCol w:w="1276"/>
      </w:tblGrid>
      <w:tr w:rsidR="00F75CAB" w14:paraId="3673C778" w14:textId="77777777" w:rsidTr="00F75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3"/>
          </w:tcPr>
          <w:p w14:paraId="73F5C42C" w14:textId="77777777" w:rsidR="00F75CAB" w:rsidRDefault="00F75CAB" w:rsidP="00F75CAB">
            <w:r>
              <w:lastRenderedPageBreak/>
              <w:t>Total costs of the cow-calf enterprise</w:t>
            </w:r>
          </w:p>
        </w:tc>
      </w:tr>
      <w:tr w:rsidR="00215A32" w14:paraId="287051A4" w14:textId="77777777" w:rsidTr="00AE4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4472C4" w:themeFill="accent1"/>
          </w:tcPr>
          <w:p w14:paraId="12B80743" w14:textId="77777777" w:rsidR="00215A32" w:rsidRPr="00726304" w:rsidRDefault="00215A32" w:rsidP="00215A32">
            <w:pPr>
              <w:rPr>
                <w:color w:val="FFFFFF" w:themeColor="background1"/>
              </w:rPr>
            </w:pPr>
            <w:r w:rsidRPr="00726304">
              <w:rPr>
                <w:color w:val="FFFFFF" w:themeColor="background1"/>
              </w:rPr>
              <w:t>Costs ($/cow)</w:t>
            </w:r>
          </w:p>
        </w:tc>
        <w:tc>
          <w:tcPr>
            <w:tcW w:w="850" w:type="dxa"/>
            <w:shd w:val="clear" w:color="auto" w:fill="4472C4" w:themeFill="accent1"/>
            <w:vAlign w:val="center"/>
          </w:tcPr>
          <w:p w14:paraId="38FB3F73" w14:textId="16C57492" w:rsidR="00215A32" w:rsidRPr="00215A32" w:rsidRDefault="00215A32" w:rsidP="00215A32">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15A32">
              <w:rPr>
                <w:b/>
                <w:bCs/>
                <w:color w:val="FFFFFF" w:themeColor="background1"/>
              </w:rPr>
              <w:t>SK-5</w:t>
            </w:r>
          </w:p>
        </w:tc>
        <w:tc>
          <w:tcPr>
            <w:tcW w:w="1276" w:type="dxa"/>
            <w:shd w:val="clear" w:color="auto" w:fill="4472C4" w:themeFill="accent1"/>
            <w:vAlign w:val="center"/>
          </w:tcPr>
          <w:p w14:paraId="19BDFBC4" w14:textId="4EA24AB7" w:rsidR="00215A32" w:rsidRPr="00215A32" w:rsidRDefault="00DF75AC" w:rsidP="00215A32">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US-160-0</w:t>
            </w:r>
          </w:p>
        </w:tc>
      </w:tr>
      <w:tr w:rsidR="00332309" w14:paraId="2EFFE117" w14:textId="77777777" w:rsidTr="00173645">
        <w:tc>
          <w:tcPr>
            <w:cnfStyle w:val="001000000000" w:firstRow="0" w:lastRow="0" w:firstColumn="1" w:lastColumn="0" w:oddVBand="0" w:evenVBand="0" w:oddHBand="0" w:evenHBand="0" w:firstRowFirstColumn="0" w:firstRowLastColumn="0" w:lastRowFirstColumn="0" w:lastRowLastColumn="0"/>
            <w:tcW w:w="2127" w:type="dxa"/>
          </w:tcPr>
          <w:p w14:paraId="77F8C655" w14:textId="77777777" w:rsidR="00332309" w:rsidRPr="00025232" w:rsidRDefault="00332309" w:rsidP="00332309">
            <w:pPr>
              <w:rPr>
                <w:b w:val="0"/>
                <w:bCs w:val="0"/>
              </w:rPr>
            </w:pPr>
            <w:r w:rsidRPr="00025232">
              <w:rPr>
                <w:b w:val="0"/>
                <w:bCs w:val="0"/>
              </w:rPr>
              <w:t>Cash costs</w:t>
            </w:r>
          </w:p>
        </w:tc>
        <w:tc>
          <w:tcPr>
            <w:tcW w:w="850" w:type="dxa"/>
            <w:vAlign w:val="bottom"/>
          </w:tcPr>
          <w:p w14:paraId="1DDDAF34" w14:textId="2F2D02FC"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w:t>
            </w:r>
            <w:r w:rsidR="001E66D7">
              <w:rPr>
                <w:rFonts w:ascii="Calibri" w:hAnsi="Calibri" w:cs="Calibri"/>
                <w:color w:val="000000"/>
              </w:rPr>
              <w:t>60</w:t>
            </w:r>
          </w:p>
        </w:tc>
        <w:tc>
          <w:tcPr>
            <w:tcW w:w="1276" w:type="dxa"/>
            <w:vAlign w:val="bottom"/>
          </w:tcPr>
          <w:p w14:paraId="5C972F56" w14:textId="1CC5C8B2"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1,009</w:t>
            </w:r>
          </w:p>
        </w:tc>
      </w:tr>
      <w:tr w:rsidR="00332309" w14:paraId="51A49B9B" w14:textId="77777777" w:rsidTr="00173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96B09F2" w14:textId="77777777" w:rsidR="00332309" w:rsidRPr="00025232" w:rsidRDefault="00332309" w:rsidP="00332309">
            <w:pPr>
              <w:rPr>
                <w:b w:val="0"/>
                <w:bCs w:val="0"/>
              </w:rPr>
            </w:pPr>
            <w:r w:rsidRPr="00025232">
              <w:rPr>
                <w:b w:val="0"/>
                <w:bCs w:val="0"/>
              </w:rPr>
              <w:t>Depreciation</w:t>
            </w:r>
          </w:p>
        </w:tc>
        <w:tc>
          <w:tcPr>
            <w:tcW w:w="850" w:type="dxa"/>
            <w:vAlign w:val="bottom"/>
          </w:tcPr>
          <w:p w14:paraId="0A69538C" w14:textId="6AB121B0" w:rsidR="00332309" w:rsidRDefault="00332309" w:rsidP="00332309">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172</w:t>
            </w:r>
          </w:p>
        </w:tc>
        <w:tc>
          <w:tcPr>
            <w:tcW w:w="1276" w:type="dxa"/>
            <w:vAlign w:val="bottom"/>
          </w:tcPr>
          <w:p w14:paraId="05B6D20B" w14:textId="286652A7" w:rsidR="00332309" w:rsidRDefault="00332309" w:rsidP="00332309">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49</w:t>
            </w:r>
          </w:p>
        </w:tc>
      </w:tr>
      <w:tr w:rsidR="00332309" w14:paraId="512B1DBD" w14:textId="77777777" w:rsidTr="00173645">
        <w:tc>
          <w:tcPr>
            <w:cnfStyle w:val="001000000000" w:firstRow="0" w:lastRow="0" w:firstColumn="1" w:lastColumn="0" w:oddVBand="0" w:evenVBand="0" w:oddHBand="0" w:evenHBand="0" w:firstRowFirstColumn="0" w:firstRowLastColumn="0" w:lastRowFirstColumn="0" w:lastRowLastColumn="0"/>
            <w:tcW w:w="2127" w:type="dxa"/>
          </w:tcPr>
          <w:p w14:paraId="32F25836" w14:textId="77777777" w:rsidR="00332309" w:rsidRPr="00025232" w:rsidRDefault="00332309" w:rsidP="00332309">
            <w:pPr>
              <w:rPr>
                <w:b w:val="0"/>
                <w:bCs w:val="0"/>
              </w:rPr>
            </w:pPr>
            <w:r w:rsidRPr="00025232">
              <w:rPr>
                <w:b w:val="0"/>
                <w:bCs w:val="0"/>
              </w:rPr>
              <w:t>Opportunity cost</w:t>
            </w:r>
          </w:p>
        </w:tc>
        <w:tc>
          <w:tcPr>
            <w:tcW w:w="850" w:type="dxa"/>
            <w:vAlign w:val="bottom"/>
          </w:tcPr>
          <w:p w14:paraId="162ECD5C" w14:textId="787D91DA"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478</w:t>
            </w:r>
          </w:p>
        </w:tc>
        <w:tc>
          <w:tcPr>
            <w:tcW w:w="1276" w:type="dxa"/>
            <w:vAlign w:val="bottom"/>
          </w:tcPr>
          <w:p w14:paraId="1C890FAD" w14:textId="04515973"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230</w:t>
            </w:r>
          </w:p>
        </w:tc>
      </w:tr>
      <w:tr w:rsidR="00332309" w14:paraId="2E7A6AC0" w14:textId="77777777" w:rsidTr="00173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E20B6D8" w14:textId="77777777" w:rsidR="00332309" w:rsidRPr="00025232" w:rsidRDefault="00332309" w:rsidP="00332309">
            <w:pPr>
              <w:ind w:left="170" w:right="57"/>
              <w:rPr>
                <w:b w:val="0"/>
                <w:bCs w:val="0"/>
                <w:i/>
                <w:iCs/>
              </w:rPr>
            </w:pPr>
            <w:r w:rsidRPr="00025232">
              <w:rPr>
                <w:b w:val="0"/>
                <w:bCs w:val="0"/>
                <w:i/>
                <w:iCs/>
              </w:rPr>
              <w:t>Land</w:t>
            </w:r>
          </w:p>
        </w:tc>
        <w:tc>
          <w:tcPr>
            <w:tcW w:w="850" w:type="dxa"/>
            <w:vAlign w:val="bottom"/>
          </w:tcPr>
          <w:p w14:paraId="48137ED8" w14:textId="3FE150FE" w:rsidR="00332309" w:rsidRDefault="00332309" w:rsidP="00332309">
            <w:pPr>
              <w:ind w:left="170"/>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188</w:t>
            </w:r>
          </w:p>
        </w:tc>
        <w:tc>
          <w:tcPr>
            <w:tcW w:w="1276" w:type="dxa"/>
            <w:vAlign w:val="bottom"/>
          </w:tcPr>
          <w:p w14:paraId="2EF60068" w14:textId="41ECED4D" w:rsidR="00332309" w:rsidRDefault="00332309" w:rsidP="00332309">
            <w:pPr>
              <w:ind w:left="170"/>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125</w:t>
            </w:r>
          </w:p>
        </w:tc>
      </w:tr>
      <w:tr w:rsidR="00332309" w14:paraId="51BBB985" w14:textId="77777777" w:rsidTr="00173645">
        <w:trPr>
          <w:trHeight w:val="97"/>
        </w:trPr>
        <w:tc>
          <w:tcPr>
            <w:cnfStyle w:val="001000000000" w:firstRow="0" w:lastRow="0" w:firstColumn="1" w:lastColumn="0" w:oddVBand="0" w:evenVBand="0" w:oddHBand="0" w:evenHBand="0" w:firstRowFirstColumn="0" w:firstRowLastColumn="0" w:lastRowFirstColumn="0" w:lastRowLastColumn="0"/>
            <w:tcW w:w="2127" w:type="dxa"/>
          </w:tcPr>
          <w:p w14:paraId="295E20D7" w14:textId="77777777" w:rsidR="00332309" w:rsidRPr="00025232" w:rsidRDefault="00332309" w:rsidP="00332309">
            <w:pPr>
              <w:ind w:left="170" w:right="57"/>
              <w:rPr>
                <w:b w:val="0"/>
                <w:bCs w:val="0"/>
                <w:i/>
                <w:iCs/>
              </w:rPr>
            </w:pPr>
            <w:r w:rsidRPr="00025232">
              <w:rPr>
                <w:b w:val="0"/>
                <w:bCs w:val="0"/>
                <w:i/>
                <w:iCs/>
              </w:rPr>
              <w:t>Labour</w:t>
            </w:r>
          </w:p>
        </w:tc>
        <w:tc>
          <w:tcPr>
            <w:tcW w:w="850" w:type="dxa"/>
            <w:vAlign w:val="bottom"/>
          </w:tcPr>
          <w:p w14:paraId="1B1EB0D3" w14:textId="39587253" w:rsidR="00332309" w:rsidRDefault="00332309" w:rsidP="00332309">
            <w:pPr>
              <w:ind w:left="170"/>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290</w:t>
            </w:r>
          </w:p>
        </w:tc>
        <w:tc>
          <w:tcPr>
            <w:tcW w:w="1276" w:type="dxa"/>
            <w:vAlign w:val="bottom"/>
          </w:tcPr>
          <w:p w14:paraId="03724488" w14:textId="11269B58" w:rsidR="00332309" w:rsidRDefault="00332309" w:rsidP="00332309">
            <w:pPr>
              <w:ind w:left="170"/>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91</w:t>
            </w:r>
          </w:p>
        </w:tc>
      </w:tr>
      <w:tr w:rsidR="00332309" w14:paraId="56E9C68F" w14:textId="77777777" w:rsidTr="00173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8EAADB" w:themeColor="accent1" w:themeTint="99"/>
            </w:tcBorders>
          </w:tcPr>
          <w:p w14:paraId="29C91249" w14:textId="77777777" w:rsidR="00332309" w:rsidRPr="00025232" w:rsidRDefault="00332309" w:rsidP="00332309">
            <w:pPr>
              <w:ind w:left="170" w:right="57"/>
              <w:rPr>
                <w:b w:val="0"/>
                <w:bCs w:val="0"/>
                <w:i/>
                <w:iCs/>
              </w:rPr>
            </w:pPr>
            <w:r w:rsidRPr="00025232">
              <w:rPr>
                <w:b w:val="0"/>
                <w:bCs w:val="0"/>
                <w:i/>
                <w:iCs/>
              </w:rPr>
              <w:t>Capital</w:t>
            </w:r>
          </w:p>
        </w:tc>
        <w:tc>
          <w:tcPr>
            <w:tcW w:w="850" w:type="dxa"/>
            <w:tcBorders>
              <w:bottom w:val="single" w:sz="4" w:space="0" w:color="8EAADB" w:themeColor="accent1" w:themeTint="99"/>
            </w:tcBorders>
            <w:vAlign w:val="bottom"/>
          </w:tcPr>
          <w:p w14:paraId="21CF54BC" w14:textId="1122337F" w:rsidR="00332309" w:rsidRDefault="00332309" w:rsidP="00332309">
            <w:pPr>
              <w:ind w:left="170"/>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276" w:type="dxa"/>
            <w:tcBorders>
              <w:bottom w:val="single" w:sz="4" w:space="0" w:color="8EAADB" w:themeColor="accent1" w:themeTint="99"/>
            </w:tcBorders>
            <w:vAlign w:val="bottom"/>
          </w:tcPr>
          <w:p w14:paraId="29F27E73" w14:textId="681E4F46" w:rsidR="00332309" w:rsidRDefault="00332309" w:rsidP="00332309">
            <w:pPr>
              <w:ind w:left="170"/>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14</w:t>
            </w:r>
          </w:p>
        </w:tc>
      </w:tr>
      <w:tr w:rsidR="00332309" w14:paraId="78D0C600" w14:textId="77777777" w:rsidTr="00173645">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61735269" w14:textId="77777777" w:rsidR="00332309" w:rsidRPr="00025232" w:rsidRDefault="00332309" w:rsidP="00332309">
            <w:pPr>
              <w:ind w:right="57"/>
              <w:rPr>
                <w:i/>
                <w:iCs/>
              </w:rPr>
            </w:pPr>
            <w:r w:rsidRPr="00025232">
              <w:t>Total cost</w:t>
            </w:r>
          </w:p>
        </w:tc>
        <w:tc>
          <w:tcPr>
            <w:tcW w:w="850" w:type="dxa"/>
            <w:tcBorders>
              <w:bottom w:val="single" w:sz="4" w:space="0" w:color="auto"/>
            </w:tcBorders>
            <w:vAlign w:val="bottom"/>
          </w:tcPr>
          <w:p w14:paraId="202D66A8" w14:textId="7A6815C4"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1,8</w:t>
            </w:r>
            <w:r w:rsidR="001E66D7">
              <w:rPr>
                <w:rFonts w:ascii="Calibri" w:hAnsi="Calibri" w:cs="Calibri"/>
                <w:color w:val="000000"/>
              </w:rPr>
              <w:t>10</w:t>
            </w:r>
          </w:p>
        </w:tc>
        <w:tc>
          <w:tcPr>
            <w:tcW w:w="1276" w:type="dxa"/>
            <w:tcBorders>
              <w:bottom w:val="single" w:sz="4" w:space="0" w:color="auto"/>
            </w:tcBorders>
            <w:vAlign w:val="bottom"/>
          </w:tcPr>
          <w:p w14:paraId="08C7ECB6" w14:textId="7D63AAA9"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1,288</w:t>
            </w:r>
          </w:p>
        </w:tc>
      </w:tr>
      <w:tr w:rsidR="00332309" w14:paraId="14AA3F5E" w14:textId="77777777" w:rsidTr="00147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7C48DD91" w14:textId="77777777" w:rsidR="00332309" w:rsidRPr="00025232" w:rsidRDefault="00332309" w:rsidP="00332309">
            <w:pPr>
              <w:ind w:right="57"/>
            </w:pPr>
            <w:r>
              <w:t>Revenue</w:t>
            </w:r>
          </w:p>
        </w:tc>
        <w:tc>
          <w:tcPr>
            <w:tcW w:w="850" w:type="dxa"/>
            <w:tcBorders>
              <w:top w:val="single" w:sz="4" w:space="0" w:color="auto"/>
              <w:bottom w:val="single" w:sz="4" w:space="0" w:color="auto"/>
            </w:tcBorders>
            <w:vAlign w:val="bottom"/>
          </w:tcPr>
          <w:p w14:paraId="1268EF5A" w14:textId="02FC15F8" w:rsidR="00332309" w:rsidRDefault="00332309" w:rsidP="00332309">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1,085</w:t>
            </w:r>
          </w:p>
        </w:tc>
        <w:tc>
          <w:tcPr>
            <w:tcW w:w="1276" w:type="dxa"/>
            <w:tcBorders>
              <w:top w:val="single" w:sz="4" w:space="0" w:color="auto"/>
              <w:bottom w:val="single" w:sz="4" w:space="0" w:color="auto"/>
            </w:tcBorders>
            <w:vAlign w:val="bottom"/>
          </w:tcPr>
          <w:p w14:paraId="5EB303EB" w14:textId="1BE375CE" w:rsidR="00332309" w:rsidRPr="00ED0885" w:rsidRDefault="00332309" w:rsidP="00332309">
            <w:pPr>
              <w:jc w:val="right"/>
              <w:cnfStyle w:val="000000100000" w:firstRow="0" w:lastRow="0" w:firstColumn="0" w:lastColumn="0" w:oddVBand="0" w:evenVBand="0" w:oddHBand="1" w:evenHBand="0" w:firstRowFirstColumn="0" w:firstRowLastColumn="0" w:lastRowFirstColumn="0" w:lastRowLastColumn="0"/>
              <w:rPr>
                <w:highlight w:val="yellow"/>
              </w:rPr>
            </w:pPr>
            <w:r>
              <w:rPr>
                <w:rFonts w:ascii="Calibri" w:hAnsi="Calibri" w:cs="Calibri"/>
                <w:color w:val="000000"/>
              </w:rPr>
              <w:t>1,041</w:t>
            </w:r>
          </w:p>
        </w:tc>
      </w:tr>
      <w:tr w:rsidR="00332309" w14:paraId="2750D1CE" w14:textId="77777777" w:rsidTr="003E094A">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8EAADB" w:themeColor="accent1" w:themeTint="99"/>
            </w:tcBorders>
          </w:tcPr>
          <w:p w14:paraId="624DA953" w14:textId="77777777" w:rsidR="00332309" w:rsidRPr="00316B50" w:rsidRDefault="00332309" w:rsidP="00332309">
            <w:pPr>
              <w:ind w:right="57"/>
              <w:rPr>
                <w:b w:val="0"/>
                <w:bCs w:val="0"/>
              </w:rPr>
            </w:pPr>
            <w:r w:rsidRPr="00316B50">
              <w:rPr>
                <w:b w:val="0"/>
                <w:bCs w:val="0"/>
              </w:rPr>
              <w:t>Short-term profit</w:t>
            </w:r>
          </w:p>
        </w:tc>
        <w:tc>
          <w:tcPr>
            <w:tcW w:w="850" w:type="dxa"/>
            <w:tcBorders>
              <w:top w:val="single" w:sz="4" w:space="0" w:color="auto"/>
              <w:bottom w:val="single" w:sz="4" w:space="0" w:color="8EAADB" w:themeColor="accent1" w:themeTint="99"/>
            </w:tcBorders>
            <w:vAlign w:val="bottom"/>
          </w:tcPr>
          <w:p w14:paraId="5865CD7C" w14:textId="002B27D9" w:rsidR="00332309" w:rsidRPr="00A20BF4" w:rsidRDefault="00332309" w:rsidP="00332309">
            <w:pPr>
              <w:jc w:val="right"/>
              <w:cnfStyle w:val="000000000000" w:firstRow="0" w:lastRow="0" w:firstColumn="0" w:lastColumn="0" w:oddVBand="0" w:evenVBand="0" w:oddHBand="0" w:evenHBand="0" w:firstRowFirstColumn="0" w:firstRowLastColumn="0" w:lastRowFirstColumn="0" w:lastRowLastColumn="0"/>
              <w:rPr>
                <w:color w:val="FF0000"/>
              </w:rPr>
            </w:pPr>
            <w:r w:rsidRPr="00A20BF4">
              <w:rPr>
                <w:rFonts w:ascii="Calibri" w:hAnsi="Calibri" w:cs="Calibri"/>
                <w:color w:val="FF0000"/>
              </w:rPr>
              <w:t>-74</w:t>
            </w:r>
          </w:p>
        </w:tc>
        <w:tc>
          <w:tcPr>
            <w:tcW w:w="1276" w:type="dxa"/>
            <w:tcBorders>
              <w:top w:val="single" w:sz="4" w:space="0" w:color="auto"/>
              <w:bottom w:val="single" w:sz="4" w:space="0" w:color="8EAADB" w:themeColor="accent1" w:themeTint="99"/>
            </w:tcBorders>
            <w:vAlign w:val="bottom"/>
          </w:tcPr>
          <w:p w14:paraId="5489034F" w14:textId="12A4694E" w:rsidR="00332309" w:rsidRDefault="00332309" w:rsidP="00332309">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33</w:t>
            </w:r>
          </w:p>
        </w:tc>
      </w:tr>
      <w:tr w:rsidR="00332309" w14:paraId="6BE2FDFD" w14:textId="77777777" w:rsidTr="003E0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8EAADB" w:themeColor="accent1" w:themeTint="99"/>
            </w:tcBorders>
          </w:tcPr>
          <w:p w14:paraId="628D9916" w14:textId="77777777" w:rsidR="00332309" w:rsidRPr="00316B50" w:rsidRDefault="00332309" w:rsidP="00332309">
            <w:pPr>
              <w:ind w:right="57"/>
              <w:rPr>
                <w:b w:val="0"/>
                <w:bCs w:val="0"/>
              </w:rPr>
            </w:pPr>
            <w:r w:rsidRPr="00316B50">
              <w:rPr>
                <w:b w:val="0"/>
                <w:bCs w:val="0"/>
              </w:rPr>
              <w:t>Medium-term profit</w:t>
            </w:r>
          </w:p>
        </w:tc>
        <w:tc>
          <w:tcPr>
            <w:tcW w:w="850" w:type="dxa"/>
            <w:tcBorders>
              <w:bottom w:val="single" w:sz="4" w:space="0" w:color="8EAADB" w:themeColor="accent1" w:themeTint="99"/>
            </w:tcBorders>
            <w:vAlign w:val="bottom"/>
          </w:tcPr>
          <w:p w14:paraId="6D36C53E" w14:textId="48689507" w:rsidR="00332309" w:rsidRPr="00A20BF4" w:rsidRDefault="00332309" w:rsidP="00332309">
            <w:pPr>
              <w:jc w:val="right"/>
              <w:cnfStyle w:val="000000100000" w:firstRow="0" w:lastRow="0" w:firstColumn="0" w:lastColumn="0" w:oddVBand="0" w:evenVBand="0" w:oddHBand="1" w:evenHBand="0" w:firstRowFirstColumn="0" w:firstRowLastColumn="0" w:lastRowFirstColumn="0" w:lastRowLastColumn="0"/>
              <w:rPr>
                <w:color w:val="FF0000"/>
              </w:rPr>
            </w:pPr>
            <w:r w:rsidRPr="00A20BF4">
              <w:rPr>
                <w:rFonts w:ascii="Calibri" w:hAnsi="Calibri" w:cs="Calibri"/>
                <w:color w:val="FF0000"/>
              </w:rPr>
              <w:t>-246</w:t>
            </w:r>
          </w:p>
        </w:tc>
        <w:tc>
          <w:tcPr>
            <w:tcW w:w="1276" w:type="dxa"/>
            <w:tcBorders>
              <w:bottom w:val="single" w:sz="4" w:space="0" w:color="8EAADB" w:themeColor="accent1" w:themeTint="99"/>
            </w:tcBorders>
            <w:vAlign w:val="bottom"/>
          </w:tcPr>
          <w:p w14:paraId="6939DD13" w14:textId="6F29FE85" w:rsidR="00332309" w:rsidRPr="00A20BF4" w:rsidRDefault="00332309" w:rsidP="00332309">
            <w:pPr>
              <w:jc w:val="right"/>
              <w:cnfStyle w:val="000000100000" w:firstRow="0" w:lastRow="0" w:firstColumn="0" w:lastColumn="0" w:oddVBand="0" w:evenVBand="0" w:oddHBand="1" w:evenHBand="0" w:firstRowFirstColumn="0" w:firstRowLastColumn="0" w:lastRowFirstColumn="0" w:lastRowLastColumn="0"/>
              <w:rPr>
                <w:color w:val="FF0000"/>
              </w:rPr>
            </w:pPr>
            <w:r w:rsidRPr="00A20BF4">
              <w:rPr>
                <w:rFonts w:ascii="Calibri" w:hAnsi="Calibri" w:cs="Calibri"/>
                <w:color w:val="FF0000"/>
              </w:rPr>
              <w:t>-17</w:t>
            </w:r>
          </w:p>
        </w:tc>
      </w:tr>
      <w:tr w:rsidR="00332309" w14:paraId="758963C1" w14:textId="77777777" w:rsidTr="003E094A">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8EAADB" w:themeColor="accent1" w:themeTint="99"/>
            </w:tcBorders>
          </w:tcPr>
          <w:p w14:paraId="7E36B5D0" w14:textId="77777777" w:rsidR="00332309" w:rsidRPr="00316B50" w:rsidRDefault="00332309" w:rsidP="00332309">
            <w:pPr>
              <w:ind w:right="57"/>
              <w:rPr>
                <w:b w:val="0"/>
                <w:bCs w:val="0"/>
              </w:rPr>
            </w:pPr>
            <w:r w:rsidRPr="00316B50">
              <w:rPr>
                <w:b w:val="0"/>
                <w:bCs w:val="0"/>
              </w:rPr>
              <w:t>Long-term profit</w:t>
            </w:r>
          </w:p>
        </w:tc>
        <w:tc>
          <w:tcPr>
            <w:tcW w:w="850" w:type="dxa"/>
            <w:tcBorders>
              <w:bottom w:val="single" w:sz="4" w:space="0" w:color="8EAADB" w:themeColor="accent1" w:themeTint="99"/>
            </w:tcBorders>
            <w:vAlign w:val="bottom"/>
          </w:tcPr>
          <w:p w14:paraId="13E9E3C7" w14:textId="60367A26" w:rsidR="00332309" w:rsidRPr="00A20BF4" w:rsidRDefault="00332309" w:rsidP="00332309">
            <w:pPr>
              <w:jc w:val="right"/>
              <w:cnfStyle w:val="000000000000" w:firstRow="0" w:lastRow="0" w:firstColumn="0" w:lastColumn="0" w:oddVBand="0" w:evenVBand="0" w:oddHBand="0" w:evenHBand="0" w:firstRowFirstColumn="0" w:firstRowLastColumn="0" w:lastRowFirstColumn="0" w:lastRowLastColumn="0"/>
              <w:rPr>
                <w:color w:val="FF0000"/>
              </w:rPr>
            </w:pPr>
            <w:r w:rsidRPr="00A20BF4">
              <w:rPr>
                <w:rFonts w:ascii="Calibri" w:hAnsi="Calibri" w:cs="Calibri"/>
                <w:color w:val="FF0000"/>
              </w:rPr>
              <w:t>-72</w:t>
            </w:r>
            <w:r w:rsidR="001E66D7">
              <w:rPr>
                <w:rFonts w:ascii="Calibri" w:hAnsi="Calibri" w:cs="Calibri"/>
                <w:color w:val="FF0000"/>
              </w:rPr>
              <w:t>5</w:t>
            </w:r>
          </w:p>
        </w:tc>
        <w:tc>
          <w:tcPr>
            <w:tcW w:w="1276" w:type="dxa"/>
            <w:tcBorders>
              <w:bottom w:val="single" w:sz="4" w:space="0" w:color="8EAADB" w:themeColor="accent1" w:themeTint="99"/>
            </w:tcBorders>
            <w:vAlign w:val="bottom"/>
          </w:tcPr>
          <w:p w14:paraId="0ED3FC79" w14:textId="2160014B" w:rsidR="00332309" w:rsidRPr="00A20BF4" w:rsidRDefault="00332309" w:rsidP="00332309">
            <w:pPr>
              <w:jc w:val="right"/>
              <w:cnfStyle w:val="000000000000" w:firstRow="0" w:lastRow="0" w:firstColumn="0" w:lastColumn="0" w:oddVBand="0" w:evenVBand="0" w:oddHBand="0" w:evenHBand="0" w:firstRowFirstColumn="0" w:firstRowLastColumn="0" w:lastRowFirstColumn="0" w:lastRowLastColumn="0"/>
              <w:rPr>
                <w:color w:val="FF0000"/>
              </w:rPr>
            </w:pPr>
            <w:r w:rsidRPr="00A20BF4">
              <w:rPr>
                <w:rFonts w:ascii="Calibri" w:hAnsi="Calibri" w:cs="Calibri"/>
                <w:color w:val="FF0000"/>
              </w:rPr>
              <w:t>-247</w:t>
            </w:r>
          </w:p>
        </w:tc>
      </w:tr>
    </w:tbl>
    <w:p w14:paraId="4C87DDE2" w14:textId="4D118B17" w:rsidR="00C85D37" w:rsidRDefault="00C85D37" w:rsidP="00C85D37">
      <w:pPr>
        <w:pStyle w:val="Heading1"/>
        <w:rPr>
          <w:rFonts w:asciiTheme="minorHAnsi" w:hAnsiTheme="minorHAnsi" w:cstheme="minorHAnsi"/>
          <w:b/>
          <w:bCs/>
          <w:sz w:val="28"/>
          <w:szCs w:val="28"/>
        </w:rPr>
      </w:pPr>
      <w:r w:rsidRPr="00E7608E">
        <w:rPr>
          <w:rFonts w:asciiTheme="minorHAnsi" w:hAnsiTheme="minorHAnsi" w:cstheme="minorHAnsi"/>
          <w:b/>
          <w:bCs/>
          <w:sz w:val="28"/>
          <w:szCs w:val="28"/>
        </w:rPr>
        <w:t>Cow-calf Enterprise</w:t>
      </w:r>
      <w:r>
        <w:rPr>
          <w:rFonts w:asciiTheme="minorHAnsi" w:hAnsiTheme="minorHAnsi" w:cstheme="minorHAnsi"/>
          <w:b/>
          <w:bCs/>
          <w:sz w:val="28"/>
          <w:szCs w:val="28"/>
        </w:rPr>
        <w:t xml:space="preserve"> </w:t>
      </w:r>
    </w:p>
    <w:p w14:paraId="78C6859B" w14:textId="0C41BD82" w:rsidR="004577B5" w:rsidRDefault="00C85D37" w:rsidP="003A7347">
      <w:pPr>
        <w:pStyle w:val="Heading2"/>
        <w:spacing w:before="120" w:line="360" w:lineRule="auto"/>
        <w:rPr>
          <w:rFonts w:asciiTheme="minorHAnsi" w:hAnsiTheme="minorHAnsi" w:cstheme="minorHAnsi"/>
          <w:lang w:eastAsia="en-CA"/>
        </w:rPr>
      </w:pPr>
      <w:r>
        <w:rPr>
          <w:rFonts w:asciiTheme="minorHAnsi" w:hAnsiTheme="minorHAnsi" w:cstheme="minorHAnsi"/>
          <w:lang w:eastAsia="en-CA"/>
        </w:rPr>
        <w:t xml:space="preserve">Cost and </w:t>
      </w:r>
      <w:r w:rsidR="002469EB">
        <w:rPr>
          <w:rFonts w:asciiTheme="minorHAnsi" w:hAnsiTheme="minorHAnsi" w:cstheme="minorHAnsi"/>
          <w:lang w:eastAsia="en-CA"/>
        </w:rPr>
        <w:t>P</w:t>
      </w:r>
      <w:r>
        <w:rPr>
          <w:rFonts w:asciiTheme="minorHAnsi" w:hAnsiTheme="minorHAnsi" w:cstheme="minorHAnsi"/>
          <w:lang w:eastAsia="en-CA"/>
        </w:rPr>
        <w:t>rofit</w:t>
      </w:r>
    </w:p>
    <w:p w14:paraId="0EAA629D" w14:textId="1DABEA21" w:rsidR="00332309" w:rsidRDefault="00332309" w:rsidP="00332309">
      <w:r>
        <w:t xml:space="preserve">For comparison of cow-calf costs and profits, a 5-year average (2016-2020) is used. Total production costs of the cow-calf enterprise (including cash cost, depreciation, and opportunity cost) on </w:t>
      </w:r>
      <w:r w:rsidR="00DF75AC" w:rsidRPr="00DF75AC">
        <w:rPr>
          <w:b/>
        </w:rPr>
        <w:t>SK-5</w:t>
      </w:r>
      <w:r>
        <w:t xml:space="preserve"> averaged $1,8</w:t>
      </w:r>
      <w:r w:rsidR="001E66D7">
        <w:t>10</w:t>
      </w:r>
      <w:r>
        <w:t xml:space="preserve">/cow over the 5-year period. This is </w:t>
      </w:r>
      <w:r w:rsidR="00910494">
        <w:t xml:space="preserve">40% larger than total costs incurred on </w:t>
      </w:r>
      <w:r w:rsidR="00DF75AC" w:rsidRPr="00DF75AC">
        <w:rPr>
          <w:b/>
        </w:rPr>
        <w:t>US-160-0</w:t>
      </w:r>
      <w:r w:rsidR="00910494">
        <w:t>, at an average of $1,288/cow.</w:t>
      </w:r>
    </w:p>
    <w:p w14:paraId="335C8914" w14:textId="7EA68155" w:rsidR="00910494" w:rsidRDefault="00910494" w:rsidP="00332309">
      <w:r>
        <w:rPr>
          <w:b/>
          <w:bCs/>
        </w:rPr>
        <w:t>Cash costs</w:t>
      </w:r>
      <w:r>
        <w:t xml:space="preserve"> include purchased feed, costs of feed production including seed and fertilizer, land rent, wages, machine and building maintenance, interest on liabilities, veterinary and medicine costs, etc. Cash costs make up a considerable share of total costs on both farms. These account for 64% of total costs on </w:t>
      </w:r>
      <w:r w:rsidR="00DF75AC" w:rsidRPr="00DF75AC">
        <w:rPr>
          <w:b/>
        </w:rPr>
        <w:t>SK-5</w:t>
      </w:r>
      <w:r>
        <w:t xml:space="preserve">, and 78% of total costs on </w:t>
      </w:r>
      <w:r w:rsidR="00DF75AC" w:rsidRPr="00DF75AC">
        <w:rPr>
          <w:b/>
        </w:rPr>
        <w:t>US-160-0</w:t>
      </w:r>
      <w:r>
        <w:t>.</w:t>
      </w:r>
    </w:p>
    <w:p w14:paraId="4FA014E4" w14:textId="645B7356" w:rsidR="00910494" w:rsidRDefault="00FF65B8" w:rsidP="00332309">
      <w:pPr>
        <w:rPr>
          <w:lang w:eastAsia="en-CA"/>
        </w:rPr>
      </w:pPr>
      <w:r>
        <w:rPr>
          <w:noProof/>
        </w:rPr>
        <w:drawing>
          <wp:anchor distT="0" distB="0" distL="114300" distR="114300" simplePos="0" relativeHeight="251659264" behindDoc="1" locked="0" layoutInCell="1" allowOverlap="1" wp14:anchorId="741EC6D1" wp14:editId="20B8E181">
            <wp:simplePos x="0" y="0"/>
            <wp:positionH relativeFrom="column">
              <wp:posOffset>-90535</wp:posOffset>
            </wp:positionH>
            <wp:positionV relativeFrom="paragraph">
              <wp:posOffset>373814</wp:posOffset>
            </wp:positionV>
            <wp:extent cx="1897200" cy="3265200"/>
            <wp:effectExtent l="0" t="0" r="8255" b="0"/>
            <wp:wrapTight wrapText="bothSides">
              <wp:wrapPolygon edited="0">
                <wp:start x="0" y="0"/>
                <wp:lineTo x="0" y="21424"/>
                <wp:lineTo x="21477" y="21424"/>
                <wp:lineTo x="21477" y="0"/>
                <wp:lineTo x="0" y="0"/>
              </wp:wrapPolygon>
            </wp:wrapTight>
            <wp:docPr id="1" name="Chart 1">
              <a:extLst xmlns:a="http://schemas.openxmlformats.org/drawingml/2006/main">
                <a:ext uri="{FF2B5EF4-FFF2-40B4-BE49-F238E27FC236}">
                  <a16:creationId xmlns:a16="http://schemas.microsoft.com/office/drawing/2014/main" id="{736F5655-0B3B-3227-512B-35372F3B6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910494">
        <w:rPr>
          <w:b/>
          <w:bCs/>
          <w:lang w:eastAsia="en-CA"/>
        </w:rPr>
        <w:t xml:space="preserve">Depreciation </w:t>
      </w:r>
      <w:r w:rsidR="00910494">
        <w:rPr>
          <w:lang w:eastAsia="en-CA"/>
        </w:rPr>
        <w:t xml:space="preserve">on machinery, building, etc., accounts for a smaller share of total costs, at 10% and 4% of total costs on </w:t>
      </w:r>
      <w:r w:rsidR="00DF75AC" w:rsidRPr="00DF75AC">
        <w:rPr>
          <w:b/>
          <w:lang w:eastAsia="en-CA"/>
        </w:rPr>
        <w:t>SK-5</w:t>
      </w:r>
      <w:r w:rsidR="00910494">
        <w:rPr>
          <w:lang w:eastAsia="en-CA"/>
        </w:rPr>
        <w:t xml:space="preserve"> and </w:t>
      </w:r>
      <w:r w:rsidR="00DF75AC" w:rsidRPr="00DF75AC">
        <w:rPr>
          <w:b/>
          <w:lang w:eastAsia="en-CA"/>
        </w:rPr>
        <w:t>US-160-0</w:t>
      </w:r>
      <w:r w:rsidR="00910494">
        <w:rPr>
          <w:lang w:eastAsia="en-CA"/>
        </w:rPr>
        <w:t>, respectively.</w:t>
      </w:r>
    </w:p>
    <w:p w14:paraId="76976C4E" w14:textId="62120C77" w:rsidR="00910494" w:rsidRDefault="00910494" w:rsidP="00332309">
      <w:r>
        <w:rPr>
          <w:b/>
          <w:bCs/>
        </w:rPr>
        <w:t>Opportunity costs</w:t>
      </w:r>
      <w:r>
        <w:t xml:space="preserve"> are calculated for owned land, unpaid family labour, and capital. </w:t>
      </w:r>
      <w:r w:rsidR="00024A41">
        <w:t xml:space="preserve">On </w:t>
      </w:r>
      <w:r w:rsidR="00DF75AC" w:rsidRPr="00DF75AC">
        <w:rPr>
          <w:b/>
        </w:rPr>
        <w:t>SK-5</w:t>
      </w:r>
      <w:r w:rsidR="00024A41">
        <w:t xml:space="preserve">, the largest opportunity cost (61% of opportunity cost) is opportunity cost of labour. This is due to </w:t>
      </w:r>
      <w:proofErr w:type="gramStart"/>
      <w:r w:rsidR="00024A41">
        <w:t>a large number of</w:t>
      </w:r>
      <w:proofErr w:type="gramEnd"/>
      <w:r w:rsidR="00024A41">
        <w:t xml:space="preserve"> unpaid family labour hours on this farm. On </w:t>
      </w:r>
      <w:r w:rsidR="00DF75AC" w:rsidRPr="00DF75AC">
        <w:rPr>
          <w:b/>
        </w:rPr>
        <w:t>US-160-0</w:t>
      </w:r>
      <w:r w:rsidR="00024A41">
        <w:t xml:space="preserve">, over half (54%) of opportunity costs is opportunity cost of land. This cost represents potential revenue generated from alternative uses of owned land, such as renting land to neighbours. </w:t>
      </w:r>
    </w:p>
    <w:p w14:paraId="55286585" w14:textId="02174E4B" w:rsidR="00024A41" w:rsidRDefault="00F5762B" w:rsidP="00332309">
      <w:r>
        <w:rPr>
          <w:b/>
          <w:bCs/>
        </w:rPr>
        <w:t>Revenue</w:t>
      </w:r>
      <w:r>
        <w:t xml:space="preserve"> from the cow-calf enterprise, including weaned calf and cull sales, was $1,085/cow on </w:t>
      </w:r>
      <w:r w:rsidR="00DF75AC" w:rsidRPr="00DF75AC">
        <w:rPr>
          <w:b/>
        </w:rPr>
        <w:t>SK-5</w:t>
      </w:r>
      <w:r>
        <w:t xml:space="preserve">. This is comparable to cow-calf revenue on </w:t>
      </w:r>
      <w:r w:rsidR="00DF75AC" w:rsidRPr="00DF75AC">
        <w:rPr>
          <w:b/>
        </w:rPr>
        <w:t>US-160-0</w:t>
      </w:r>
      <w:r>
        <w:t xml:space="preserve">, of $1,041/cow. Considering that cow-calf production costs are 40% larger on </w:t>
      </w:r>
      <w:r w:rsidR="00DF75AC" w:rsidRPr="00DF75AC">
        <w:rPr>
          <w:b/>
        </w:rPr>
        <w:t>SK-5</w:t>
      </w:r>
      <w:r>
        <w:t xml:space="preserve">, this will be reflected in profitability measures of the respective cow-calf enterprises. </w:t>
      </w:r>
    </w:p>
    <w:p w14:paraId="70A66718" w14:textId="09E469D4" w:rsidR="00A20BF4" w:rsidRPr="00910494" w:rsidRDefault="00A20BF4" w:rsidP="00332309">
      <w:r>
        <w:rPr>
          <w:lang w:eastAsia="en-CA"/>
        </w:rPr>
        <w:t xml:space="preserve">The cow-calf enterprise on </w:t>
      </w:r>
      <w:r w:rsidR="00DF75AC" w:rsidRPr="00DF75AC">
        <w:rPr>
          <w:b/>
          <w:lang w:eastAsia="en-CA"/>
        </w:rPr>
        <w:t>SK-5</w:t>
      </w:r>
      <w:r>
        <w:rPr>
          <w:lang w:eastAsia="en-CA"/>
        </w:rPr>
        <w:t xml:space="preserve"> is unprofitable in </w:t>
      </w:r>
      <w:proofErr w:type="gramStart"/>
      <w:r>
        <w:rPr>
          <w:lang w:eastAsia="en-CA"/>
        </w:rPr>
        <w:t>all of</w:t>
      </w:r>
      <w:proofErr w:type="gramEnd"/>
      <w:r>
        <w:rPr>
          <w:lang w:eastAsia="en-CA"/>
        </w:rPr>
        <w:t xml:space="preserve"> the short-, medium-, and long-terms. Average</w:t>
      </w:r>
      <w:r w:rsidRPr="00A20BF4">
        <w:rPr>
          <w:lang w:eastAsia="en-CA"/>
        </w:rPr>
        <w:t xml:space="preserve"> </w:t>
      </w:r>
      <w:r w:rsidRPr="00CD543B">
        <w:rPr>
          <w:b/>
          <w:bCs/>
        </w:rPr>
        <w:t>short-term profit</w:t>
      </w:r>
      <w:r>
        <w:rPr>
          <w:b/>
          <w:bCs/>
        </w:rPr>
        <w:t>s</w:t>
      </w:r>
      <w:r>
        <w:t xml:space="preserve"> (revenue – cash costs) on this farm were -$74/cow. Average </w:t>
      </w:r>
      <w:r w:rsidRPr="00FC0C08">
        <w:rPr>
          <w:b/>
          <w:bCs/>
        </w:rPr>
        <w:t>medium-term profit</w:t>
      </w:r>
      <w:r>
        <w:rPr>
          <w:b/>
          <w:bCs/>
        </w:rPr>
        <w:t>s</w:t>
      </w:r>
      <w:r>
        <w:t xml:space="preserve"> (revenue – cash and depreciation</w:t>
      </w:r>
      <w:r w:rsidRPr="00FC0C08">
        <w:t xml:space="preserve"> </w:t>
      </w:r>
      <w:r>
        <w:t xml:space="preserve">costs) were -$246/cow, and average </w:t>
      </w:r>
      <w:r>
        <w:rPr>
          <w:b/>
          <w:bCs/>
        </w:rPr>
        <w:t>lo</w:t>
      </w:r>
      <w:r w:rsidRPr="00A32A1A">
        <w:rPr>
          <w:b/>
          <w:bCs/>
        </w:rPr>
        <w:t>ng-term profit</w:t>
      </w:r>
      <w:r>
        <w:rPr>
          <w:b/>
          <w:bCs/>
        </w:rPr>
        <w:t>s</w:t>
      </w:r>
      <w:r>
        <w:t xml:space="preserve"> (revenue – cash, depreciation, and opportunity costs) were -$724/cow. </w:t>
      </w:r>
      <w:r w:rsidR="00DF75AC" w:rsidRPr="00DF75AC">
        <w:rPr>
          <w:b/>
        </w:rPr>
        <w:t>US-160-0</w:t>
      </w:r>
      <w:r>
        <w:t xml:space="preserve"> </w:t>
      </w:r>
      <w:proofErr w:type="gramStart"/>
      <w:r>
        <w:t>is able to</w:t>
      </w:r>
      <w:proofErr w:type="gramEnd"/>
      <w:r>
        <w:t xml:space="preserve"> cover short-term (cash) costs, </w:t>
      </w:r>
      <w:r w:rsidR="00FF65B8">
        <w:t xml:space="preserve">with an average short-term profit of $33/cow. </w:t>
      </w:r>
      <w:r>
        <w:t>However, this farm, too, is unprofitable in the medium- and long-terms. Medium-term profits averaged -$17/cow, and long-term profits -$247/cow over the 5-year period</w:t>
      </w:r>
      <w:r w:rsidR="00FF65B8">
        <w:t>.</w:t>
      </w:r>
    </w:p>
    <w:tbl>
      <w:tblPr>
        <w:tblStyle w:val="GridTable4-Accent1"/>
        <w:tblpPr w:leftFromText="180" w:rightFromText="180" w:vertAnchor="page" w:horzAnchor="margin" w:tblpXSpec="right" w:tblpY="1615"/>
        <w:tblW w:w="0" w:type="auto"/>
        <w:tblLook w:val="04A0" w:firstRow="1" w:lastRow="0" w:firstColumn="1" w:lastColumn="0" w:noHBand="0" w:noVBand="1"/>
      </w:tblPr>
      <w:tblGrid>
        <w:gridCol w:w="2551"/>
        <w:gridCol w:w="993"/>
        <w:gridCol w:w="1189"/>
      </w:tblGrid>
      <w:tr w:rsidR="00025E4F" w14:paraId="1BD89D9F" w14:textId="77777777" w:rsidTr="00025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47F4EB8" w14:textId="77777777" w:rsidR="00025E4F" w:rsidRDefault="00025E4F" w:rsidP="00025E4F">
            <w:pPr>
              <w:rPr>
                <w:lang w:eastAsia="en-CA"/>
              </w:rPr>
            </w:pPr>
            <w:r>
              <w:rPr>
                <w:lang w:eastAsia="en-CA"/>
              </w:rPr>
              <w:lastRenderedPageBreak/>
              <w:t>Costs ($/cow)</w:t>
            </w:r>
          </w:p>
        </w:tc>
        <w:tc>
          <w:tcPr>
            <w:tcW w:w="993" w:type="dxa"/>
            <w:vAlign w:val="center"/>
          </w:tcPr>
          <w:p w14:paraId="62FBBE56" w14:textId="77777777" w:rsidR="00025E4F" w:rsidRDefault="00025E4F" w:rsidP="00025E4F">
            <w:pPr>
              <w:jc w:val="center"/>
              <w:cnfStyle w:val="100000000000" w:firstRow="1" w:lastRow="0" w:firstColumn="0" w:lastColumn="0" w:oddVBand="0" w:evenVBand="0" w:oddHBand="0" w:evenHBand="0" w:firstRowFirstColumn="0" w:firstRowLastColumn="0" w:lastRowFirstColumn="0" w:lastRowLastColumn="0"/>
              <w:rPr>
                <w:lang w:eastAsia="en-CA"/>
              </w:rPr>
            </w:pPr>
            <w:r>
              <w:t>SK-5</w:t>
            </w:r>
          </w:p>
        </w:tc>
        <w:tc>
          <w:tcPr>
            <w:tcW w:w="1189" w:type="dxa"/>
            <w:vAlign w:val="center"/>
          </w:tcPr>
          <w:p w14:paraId="6EC1CCBF" w14:textId="38B9519D" w:rsidR="00025E4F" w:rsidRDefault="00DF75AC" w:rsidP="00025E4F">
            <w:pPr>
              <w:jc w:val="center"/>
              <w:cnfStyle w:val="100000000000" w:firstRow="1" w:lastRow="0" w:firstColumn="0" w:lastColumn="0" w:oddVBand="0" w:evenVBand="0" w:oddHBand="0" w:evenHBand="0" w:firstRowFirstColumn="0" w:firstRowLastColumn="0" w:lastRowFirstColumn="0" w:lastRowLastColumn="0"/>
              <w:rPr>
                <w:lang w:eastAsia="en-CA"/>
              </w:rPr>
            </w:pPr>
            <w:r>
              <w:t>US-160-0</w:t>
            </w:r>
          </w:p>
        </w:tc>
      </w:tr>
      <w:tr w:rsidR="00A96538" w14:paraId="1E1B0295" w14:textId="77777777" w:rsidTr="0002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0239555" w14:textId="77777777" w:rsidR="00A96538" w:rsidRPr="00011350" w:rsidRDefault="00A96538" w:rsidP="00A96538">
            <w:pPr>
              <w:rPr>
                <w:b w:val="0"/>
                <w:bCs w:val="0"/>
                <w:lang w:eastAsia="en-CA"/>
              </w:rPr>
            </w:pPr>
            <w:r w:rsidRPr="00011350">
              <w:rPr>
                <w:b w:val="0"/>
                <w:bCs w:val="0"/>
                <w:lang w:eastAsia="en-CA"/>
              </w:rPr>
              <w:t>Total land cost</w:t>
            </w:r>
          </w:p>
        </w:tc>
        <w:tc>
          <w:tcPr>
            <w:tcW w:w="993" w:type="dxa"/>
            <w:vAlign w:val="bottom"/>
          </w:tcPr>
          <w:p w14:paraId="5024BD0A" w14:textId="050A0191" w:rsidR="00A96538" w:rsidRDefault="00A96538" w:rsidP="00A96538">
            <w:pPr>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240</w:t>
            </w:r>
          </w:p>
        </w:tc>
        <w:tc>
          <w:tcPr>
            <w:tcW w:w="1189" w:type="dxa"/>
            <w:vAlign w:val="bottom"/>
          </w:tcPr>
          <w:p w14:paraId="2C74F656" w14:textId="6BEACFA5" w:rsidR="00A96538" w:rsidRDefault="00A96538" w:rsidP="00A96538">
            <w:pPr>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510</w:t>
            </w:r>
          </w:p>
        </w:tc>
      </w:tr>
      <w:tr w:rsidR="00A96538" w14:paraId="0A07C42F" w14:textId="77777777" w:rsidTr="00025E4F">
        <w:tc>
          <w:tcPr>
            <w:cnfStyle w:val="001000000000" w:firstRow="0" w:lastRow="0" w:firstColumn="1" w:lastColumn="0" w:oddVBand="0" w:evenVBand="0" w:oddHBand="0" w:evenHBand="0" w:firstRowFirstColumn="0" w:firstRowLastColumn="0" w:lastRowFirstColumn="0" w:lastRowLastColumn="0"/>
            <w:tcW w:w="2551" w:type="dxa"/>
          </w:tcPr>
          <w:p w14:paraId="0D3ED098" w14:textId="77777777" w:rsidR="00A96538" w:rsidRPr="00011350" w:rsidRDefault="00A96538" w:rsidP="00A96538">
            <w:pPr>
              <w:rPr>
                <w:b w:val="0"/>
                <w:bCs w:val="0"/>
                <w:lang w:eastAsia="en-CA"/>
              </w:rPr>
            </w:pPr>
            <w:r w:rsidRPr="00011350">
              <w:rPr>
                <w:b w:val="0"/>
                <w:bCs w:val="0"/>
                <w:lang w:eastAsia="en-CA"/>
              </w:rPr>
              <w:t>Total labour cost</w:t>
            </w:r>
          </w:p>
        </w:tc>
        <w:tc>
          <w:tcPr>
            <w:tcW w:w="993" w:type="dxa"/>
            <w:vAlign w:val="bottom"/>
          </w:tcPr>
          <w:p w14:paraId="3DD50F1E" w14:textId="2A2CE115" w:rsidR="00A96538" w:rsidRDefault="00A96538" w:rsidP="00A96538">
            <w:pPr>
              <w:jc w:val="right"/>
              <w:cnfStyle w:val="000000000000" w:firstRow="0" w:lastRow="0" w:firstColumn="0" w:lastColumn="0" w:oddVBand="0" w:evenVBand="0" w:oddHBand="0" w:evenHBand="0" w:firstRowFirstColumn="0" w:firstRowLastColumn="0" w:lastRowFirstColumn="0" w:lastRowLastColumn="0"/>
              <w:rPr>
                <w:lang w:eastAsia="en-CA"/>
              </w:rPr>
            </w:pPr>
            <w:r>
              <w:rPr>
                <w:rFonts w:ascii="Calibri" w:hAnsi="Calibri" w:cs="Calibri"/>
                <w:color w:val="000000"/>
              </w:rPr>
              <w:t>521</w:t>
            </w:r>
          </w:p>
        </w:tc>
        <w:tc>
          <w:tcPr>
            <w:tcW w:w="1189" w:type="dxa"/>
            <w:vAlign w:val="bottom"/>
          </w:tcPr>
          <w:p w14:paraId="31B1B8B5" w14:textId="16C3AB16" w:rsidR="00A96538" w:rsidRDefault="00A96538" w:rsidP="00A96538">
            <w:pPr>
              <w:jc w:val="right"/>
              <w:cnfStyle w:val="000000000000" w:firstRow="0" w:lastRow="0" w:firstColumn="0" w:lastColumn="0" w:oddVBand="0" w:evenVBand="0" w:oddHBand="0" w:evenHBand="0" w:firstRowFirstColumn="0" w:firstRowLastColumn="0" w:lastRowFirstColumn="0" w:lastRowLastColumn="0"/>
              <w:rPr>
                <w:lang w:eastAsia="en-CA"/>
              </w:rPr>
            </w:pPr>
            <w:r>
              <w:rPr>
                <w:rFonts w:ascii="Calibri" w:hAnsi="Calibri" w:cs="Calibri"/>
                <w:color w:val="000000"/>
              </w:rPr>
              <w:t>109</w:t>
            </w:r>
          </w:p>
        </w:tc>
      </w:tr>
      <w:tr w:rsidR="00A96538" w14:paraId="1293FCBF" w14:textId="77777777" w:rsidTr="0002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6FDFD0A" w14:textId="77777777" w:rsidR="00A96538" w:rsidRPr="00011350" w:rsidRDefault="00A96538" w:rsidP="00A96538">
            <w:pPr>
              <w:rPr>
                <w:b w:val="0"/>
                <w:bCs w:val="0"/>
                <w:lang w:eastAsia="en-CA"/>
              </w:rPr>
            </w:pPr>
            <w:r w:rsidRPr="00011350">
              <w:rPr>
                <w:b w:val="0"/>
                <w:bCs w:val="0"/>
                <w:lang w:eastAsia="en-CA"/>
              </w:rPr>
              <w:t>Total capital cost</w:t>
            </w:r>
          </w:p>
        </w:tc>
        <w:tc>
          <w:tcPr>
            <w:tcW w:w="993" w:type="dxa"/>
            <w:vAlign w:val="bottom"/>
          </w:tcPr>
          <w:p w14:paraId="38E14ACA" w14:textId="6B873744" w:rsidR="00A96538" w:rsidRDefault="00A96538" w:rsidP="00A96538">
            <w:pPr>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176</w:t>
            </w:r>
          </w:p>
        </w:tc>
        <w:tc>
          <w:tcPr>
            <w:tcW w:w="1189" w:type="dxa"/>
            <w:vAlign w:val="bottom"/>
          </w:tcPr>
          <w:p w14:paraId="35FEFF46" w14:textId="3D602876" w:rsidR="00A96538" w:rsidRDefault="00A96538" w:rsidP="00A96538">
            <w:pPr>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20</w:t>
            </w:r>
          </w:p>
        </w:tc>
      </w:tr>
      <w:tr w:rsidR="001E66D7" w14:paraId="12B12749" w14:textId="77777777" w:rsidTr="00131B2F">
        <w:tc>
          <w:tcPr>
            <w:cnfStyle w:val="001000000000" w:firstRow="0" w:lastRow="0" w:firstColumn="1" w:lastColumn="0" w:oddVBand="0" w:evenVBand="0" w:oddHBand="0" w:evenHBand="0" w:firstRowFirstColumn="0" w:firstRowLastColumn="0" w:lastRowFirstColumn="0" w:lastRowLastColumn="0"/>
            <w:tcW w:w="2551" w:type="dxa"/>
          </w:tcPr>
          <w:p w14:paraId="5253D678" w14:textId="4EA35ADD" w:rsidR="001E66D7" w:rsidRPr="00011350" w:rsidRDefault="001E66D7" w:rsidP="001E66D7">
            <w:pPr>
              <w:rPr>
                <w:b w:val="0"/>
                <w:bCs w:val="0"/>
                <w:lang w:eastAsia="en-CA"/>
              </w:rPr>
            </w:pPr>
            <w:r w:rsidRPr="00011350">
              <w:rPr>
                <w:b w:val="0"/>
                <w:bCs w:val="0"/>
                <w:lang w:eastAsia="en-CA"/>
              </w:rPr>
              <w:t>Non-factor costs</w:t>
            </w:r>
          </w:p>
        </w:tc>
        <w:tc>
          <w:tcPr>
            <w:tcW w:w="993" w:type="dxa"/>
          </w:tcPr>
          <w:p w14:paraId="7557A470" w14:textId="2F69E041" w:rsidR="001E66D7" w:rsidRDefault="001E66D7" w:rsidP="001E66D7">
            <w:pPr>
              <w:jc w:val="right"/>
              <w:cnfStyle w:val="000000000000" w:firstRow="0" w:lastRow="0" w:firstColumn="0" w:lastColumn="0" w:oddVBand="0" w:evenVBand="0" w:oddHBand="0" w:evenHBand="0" w:firstRowFirstColumn="0" w:firstRowLastColumn="0" w:lastRowFirstColumn="0" w:lastRowLastColumn="0"/>
              <w:rPr>
                <w:lang w:eastAsia="en-CA"/>
              </w:rPr>
            </w:pPr>
            <w:r w:rsidRPr="00D5281D">
              <w:t>873</w:t>
            </w:r>
          </w:p>
        </w:tc>
        <w:tc>
          <w:tcPr>
            <w:tcW w:w="1189" w:type="dxa"/>
            <w:vAlign w:val="bottom"/>
          </w:tcPr>
          <w:p w14:paraId="3E4C5DA4" w14:textId="003526EF" w:rsidR="001E66D7" w:rsidRDefault="001E66D7" w:rsidP="001E66D7">
            <w:pPr>
              <w:jc w:val="right"/>
              <w:cnfStyle w:val="000000000000" w:firstRow="0" w:lastRow="0" w:firstColumn="0" w:lastColumn="0" w:oddVBand="0" w:evenVBand="0" w:oddHBand="0" w:evenHBand="0" w:firstRowFirstColumn="0" w:firstRowLastColumn="0" w:lastRowFirstColumn="0" w:lastRowLastColumn="0"/>
              <w:rPr>
                <w:lang w:eastAsia="en-CA"/>
              </w:rPr>
            </w:pPr>
            <w:r>
              <w:rPr>
                <w:rFonts w:ascii="Calibri" w:hAnsi="Calibri" w:cs="Calibri"/>
                <w:color w:val="000000"/>
              </w:rPr>
              <w:t>648</w:t>
            </w:r>
          </w:p>
        </w:tc>
      </w:tr>
      <w:tr w:rsidR="001E66D7" w14:paraId="7FDCD883" w14:textId="77777777" w:rsidTr="00131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13CD2AB" w14:textId="6E1F3635" w:rsidR="001E66D7" w:rsidRPr="00011350" w:rsidRDefault="001E66D7" w:rsidP="001E66D7">
            <w:pPr>
              <w:ind w:left="170"/>
              <w:rPr>
                <w:b w:val="0"/>
                <w:bCs w:val="0"/>
                <w:lang w:eastAsia="en-CA"/>
              </w:rPr>
            </w:pPr>
            <w:r w:rsidRPr="00011350">
              <w:rPr>
                <w:b w:val="0"/>
                <w:bCs w:val="0"/>
                <w:lang w:eastAsia="en-CA"/>
              </w:rPr>
              <w:t>Animal purchases</w:t>
            </w:r>
          </w:p>
        </w:tc>
        <w:tc>
          <w:tcPr>
            <w:tcW w:w="993" w:type="dxa"/>
          </w:tcPr>
          <w:p w14:paraId="056AB7FA" w14:textId="4DFF3430"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sidRPr="00D5281D">
              <w:t>35</w:t>
            </w:r>
          </w:p>
        </w:tc>
        <w:tc>
          <w:tcPr>
            <w:tcW w:w="1189" w:type="dxa"/>
            <w:vAlign w:val="bottom"/>
          </w:tcPr>
          <w:p w14:paraId="6A209ABB" w14:textId="70E81C55"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17</w:t>
            </w:r>
          </w:p>
        </w:tc>
      </w:tr>
      <w:tr w:rsidR="001E66D7" w14:paraId="5C4DF28E" w14:textId="77777777" w:rsidTr="00131B2F">
        <w:tc>
          <w:tcPr>
            <w:cnfStyle w:val="001000000000" w:firstRow="0" w:lastRow="0" w:firstColumn="1" w:lastColumn="0" w:oddVBand="0" w:evenVBand="0" w:oddHBand="0" w:evenHBand="0" w:firstRowFirstColumn="0" w:firstRowLastColumn="0" w:lastRowFirstColumn="0" w:lastRowLastColumn="0"/>
            <w:tcW w:w="2551" w:type="dxa"/>
          </w:tcPr>
          <w:p w14:paraId="566B1EF6" w14:textId="4DFE7E1E" w:rsidR="001E66D7" w:rsidRPr="00011350" w:rsidRDefault="001E66D7" w:rsidP="001E66D7">
            <w:pPr>
              <w:ind w:left="170"/>
              <w:rPr>
                <w:b w:val="0"/>
                <w:bCs w:val="0"/>
                <w:lang w:eastAsia="en-CA"/>
              </w:rPr>
            </w:pPr>
            <w:r w:rsidRPr="00011350">
              <w:rPr>
                <w:b w:val="0"/>
                <w:bCs w:val="0"/>
                <w:lang w:eastAsia="en-CA"/>
              </w:rPr>
              <w:t>Feed</w:t>
            </w:r>
          </w:p>
        </w:tc>
        <w:tc>
          <w:tcPr>
            <w:tcW w:w="993" w:type="dxa"/>
          </w:tcPr>
          <w:p w14:paraId="668FA97E" w14:textId="5DF62644" w:rsidR="001E66D7" w:rsidRDefault="001E66D7" w:rsidP="001E66D7">
            <w:pPr>
              <w:ind w:left="170"/>
              <w:jc w:val="right"/>
              <w:cnfStyle w:val="000000000000" w:firstRow="0" w:lastRow="0" w:firstColumn="0" w:lastColumn="0" w:oddVBand="0" w:evenVBand="0" w:oddHBand="0" w:evenHBand="0" w:firstRowFirstColumn="0" w:firstRowLastColumn="0" w:lastRowFirstColumn="0" w:lastRowLastColumn="0"/>
              <w:rPr>
                <w:lang w:eastAsia="en-CA"/>
              </w:rPr>
            </w:pPr>
            <w:r w:rsidRPr="00D5281D">
              <w:t>232</w:t>
            </w:r>
          </w:p>
        </w:tc>
        <w:tc>
          <w:tcPr>
            <w:tcW w:w="1189" w:type="dxa"/>
            <w:vAlign w:val="bottom"/>
          </w:tcPr>
          <w:p w14:paraId="306636B8" w14:textId="2A3EBCED" w:rsidR="001E66D7" w:rsidRDefault="001E66D7" w:rsidP="001E66D7">
            <w:pPr>
              <w:ind w:left="170"/>
              <w:jc w:val="right"/>
              <w:cnfStyle w:val="000000000000" w:firstRow="0" w:lastRow="0" w:firstColumn="0" w:lastColumn="0" w:oddVBand="0" w:evenVBand="0" w:oddHBand="0" w:evenHBand="0" w:firstRowFirstColumn="0" w:firstRowLastColumn="0" w:lastRowFirstColumn="0" w:lastRowLastColumn="0"/>
              <w:rPr>
                <w:lang w:eastAsia="en-CA"/>
              </w:rPr>
            </w:pPr>
            <w:r>
              <w:rPr>
                <w:rFonts w:ascii="Calibri" w:hAnsi="Calibri" w:cs="Calibri"/>
                <w:color w:val="000000"/>
              </w:rPr>
              <w:t>345</w:t>
            </w:r>
          </w:p>
        </w:tc>
      </w:tr>
      <w:tr w:rsidR="001E66D7" w14:paraId="21688BC1" w14:textId="77777777" w:rsidTr="00131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55F16E4" w14:textId="77777777" w:rsidR="001E66D7" w:rsidRPr="00011350" w:rsidRDefault="001E66D7" w:rsidP="001E66D7">
            <w:pPr>
              <w:ind w:left="170"/>
              <w:rPr>
                <w:b w:val="0"/>
                <w:bCs w:val="0"/>
                <w:lang w:eastAsia="en-CA"/>
              </w:rPr>
            </w:pPr>
            <w:r w:rsidRPr="00011350">
              <w:rPr>
                <w:b w:val="0"/>
                <w:bCs w:val="0"/>
                <w:lang w:eastAsia="en-CA"/>
              </w:rPr>
              <w:t>Machinery</w:t>
            </w:r>
          </w:p>
        </w:tc>
        <w:tc>
          <w:tcPr>
            <w:tcW w:w="993" w:type="dxa"/>
          </w:tcPr>
          <w:p w14:paraId="1BFDF27C" w14:textId="393CB36F"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sidRPr="00D5281D">
              <w:t>94</w:t>
            </w:r>
          </w:p>
        </w:tc>
        <w:tc>
          <w:tcPr>
            <w:tcW w:w="1189" w:type="dxa"/>
            <w:vAlign w:val="bottom"/>
          </w:tcPr>
          <w:p w14:paraId="784C47B9" w14:textId="669330E8"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47</w:t>
            </w:r>
          </w:p>
        </w:tc>
      </w:tr>
      <w:tr w:rsidR="001E66D7" w14:paraId="1A6D69CA" w14:textId="77777777" w:rsidTr="00131B2F">
        <w:tc>
          <w:tcPr>
            <w:cnfStyle w:val="001000000000" w:firstRow="0" w:lastRow="0" w:firstColumn="1" w:lastColumn="0" w:oddVBand="0" w:evenVBand="0" w:oddHBand="0" w:evenHBand="0" w:firstRowFirstColumn="0" w:firstRowLastColumn="0" w:lastRowFirstColumn="0" w:lastRowLastColumn="0"/>
            <w:tcW w:w="2551" w:type="dxa"/>
          </w:tcPr>
          <w:p w14:paraId="42C63538" w14:textId="77777777" w:rsidR="001E66D7" w:rsidRPr="00011350" w:rsidRDefault="001E66D7" w:rsidP="001E66D7">
            <w:pPr>
              <w:ind w:left="170"/>
              <w:rPr>
                <w:b w:val="0"/>
                <w:bCs w:val="0"/>
                <w:lang w:eastAsia="en-CA"/>
              </w:rPr>
            </w:pPr>
            <w:r w:rsidRPr="00011350">
              <w:rPr>
                <w:b w:val="0"/>
                <w:bCs w:val="0"/>
                <w:lang w:eastAsia="en-CA"/>
              </w:rPr>
              <w:t>Fuel, energy, lubricants</w:t>
            </w:r>
          </w:p>
        </w:tc>
        <w:tc>
          <w:tcPr>
            <w:tcW w:w="993" w:type="dxa"/>
          </w:tcPr>
          <w:p w14:paraId="48F47178" w14:textId="236B0F26" w:rsidR="001E66D7" w:rsidRDefault="001E66D7" w:rsidP="001E66D7">
            <w:pPr>
              <w:ind w:left="170"/>
              <w:jc w:val="right"/>
              <w:cnfStyle w:val="000000000000" w:firstRow="0" w:lastRow="0" w:firstColumn="0" w:lastColumn="0" w:oddVBand="0" w:evenVBand="0" w:oddHBand="0" w:evenHBand="0" w:firstRowFirstColumn="0" w:firstRowLastColumn="0" w:lastRowFirstColumn="0" w:lastRowLastColumn="0"/>
              <w:rPr>
                <w:lang w:eastAsia="en-CA"/>
              </w:rPr>
            </w:pPr>
            <w:r w:rsidRPr="00D5281D">
              <w:t>130</w:t>
            </w:r>
          </w:p>
        </w:tc>
        <w:tc>
          <w:tcPr>
            <w:tcW w:w="1189" w:type="dxa"/>
            <w:vAlign w:val="bottom"/>
          </w:tcPr>
          <w:p w14:paraId="64B1F769" w14:textId="11652657" w:rsidR="001E66D7" w:rsidRDefault="001E66D7" w:rsidP="001E66D7">
            <w:pPr>
              <w:ind w:left="170"/>
              <w:jc w:val="right"/>
              <w:cnfStyle w:val="000000000000" w:firstRow="0" w:lastRow="0" w:firstColumn="0" w:lastColumn="0" w:oddVBand="0" w:evenVBand="0" w:oddHBand="0" w:evenHBand="0" w:firstRowFirstColumn="0" w:firstRowLastColumn="0" w:lastRowFirstColumn="0" w:lastRowLastColumn="0"/>
              <w:rPr>
                <w:lang w:eastAsia="en-CA"/>
              </w:rPr>
            </w:pPr>
            <w:r>
              <w:rPr>
                <w:rFonts w:ascii="Calibri" w:hAnsi="Calibri" w:cs="Calibri"/>
                <w:color w:val="000000"/>
              </w:rPr>
              <w:t>41</w:t>
            </w:r>
          </w:p>
        </w:tc>
      </w:tr>
      <w:tr w:rsidR="001E66D7" w14:paraId="7E9F4791" w14:textId="77777777" w:rsidTr="00131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2801A69" w14:textId="77777777" w:rsidR="001E66D7" w:rsidRPr="00011350" w:rsidRDefault="001E66D7" w:rsidP="001E66D7">
            <w:pPr>
              <w:ind w:left="170"/>
              <w:rPr>
                <w:b w:val="0"/>
                <w:bCs w:val="0"/>
                <w:lang w:eastAsia="en-CA"/>
              </w:rPr>
            </w:pPr>
            <w:r w:rsidRPr="00011350">
              <w:rPr>
                <w:b w:val="0"/>
                <w:bCs w:val="0"/>
                <w:lang w:eastAsia="en-CA"/>
              </w:rPr>
              <w:t>Buildings</w:t>
            </w:r>
          </w:p>
        </w:tc>
        <w:tc>
          <w:tcPr>
            <w:tcW w:w="993" w:type="dxa"/>
          </w:tcPr>
          <w:p w14:paraId="3782188B" w14:textId="35FA32EC"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sidRPr="00D5281D">
              <w:t>104</w:t>
            </w:r>
          </w:p>
        </w:tc>
        <w:tc>
          <w:tcPr>
            <w:tcW w:w="1189" w:type="dxa"/>
            <w:vAlign w:val="bottom"/>
          </w:tcPr>
          <w:p w14:paraId="14F463A4" w14:textId="77DEB48B"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3</w:t>
            </w:r>
          </w:p>
        </w:tc>
      </w:tr>
      <w:tr w:rsidR="001E66D7" w14:paraId="631EDBE1" w14:textId="77777777" w:rsidTr="00131B2F">
        <w:tc>
          <w:tcPr>
            <w:cnfStyle w:val="001000000000" w:firstRow="0" w:lastRow="0" w:firstColumn="1" w:lastColumn="0" w:oddVBand="0" w:evenVBand="0" w:oddHBand="0" w:evenHBand="0" w:firstRowFirstColumn="0" w:firstRowLastColumn="0" w:lastRowFirstColumn="0" w:lastRowLastColumn="0"/>
            <w:tcW w:w="2551" w:type="dxa"/>
          </w:tcPr>
          <w:p w14:paraId="3F898055" w14:textId="77777777" w:rsidR="001E66D7" w:rsidRPr="00011350" w:rsidRDefault="001E66D7" w:rsidP="001E66D7">
            <w:pPr>
              <w:ind w:left="170"/>
              <w:rPr>
                <w:b w:val="0"/>
                <w:bCs w:val="0"/>
                <w:lang w:eastAsia="en-CA"/>
              </w:rPr>
            </w:pPr>
            <w:r w:rsidRPr="00011350">
              <w:rPr>
                <w:b w:val="0"/>
                <w:bCs w:val="0"/>
                <w:lang w:eastAsia="en-CA"/>
              </w:rPr>
              <w:t>Vet &amp; medicine</w:t>
            </w:r>
          </w:p>
        </w:tc>
        <w:tc>
          <w:tcPr>
            <w:tcW w:w="993" w:type="dxa"/>
          </w:tcPr>
          <w:p w14:paraId="190D240F" w14:textId="0B87E66E" w:rsidR="001E66D7" w:rsidRDefault="001E66D7" w:rsidP="001E66D7">
            <w:pPr>
              <w:ind w:left="170"/>
              <w:jc w:val="right"/>
              <w:cnfStyle w:val="000000000000" w:firstRow="0" w:lastRow="0" w:firstColumn="0" w:lastColumn="0" w:oddVBand="0" w:evenVBand="0" w:oddHBand="0" w:evenHBand="0" w:firstRowFirstColumn="0" w:firstRowLastColumn="0" w:lastRowFirstColumn="0" w:lastRowLastColumn="0"/>
              <w:rPr>
                <w:lang w:eastAsia="en-CA"/>
              </w:rPr>
            </w:pPr>
            <w:r w:rsidRPr="00D5281D">
              <w:t>25</w:t>
            </w:r>
          </w:p>
        </w:tc>
        <w:tc>
          <w:tcPr>
            <w:tcW w:w="1189" w:type="dxa"/>
            <w:vAlign w:val="bottom"/>
          </w:tcPr>
          <w:p w14:paraId="282D0B7F" w14:textId="5063FFE1" w:rsidR="001E66D7" w:rsidRDefault="001E66D7" w:rsidP="001E66D7">
            <w:pPr>
              <w:ind w:left="170"/>
              <w:jc w:val="right"/>
              <w:cnfStyle w:val="000000000000" w:firstRow="0" w:lastRow="0" w:firstColumn="0" w:lastColumn="0" w:oddVBand="0" w:evenVBand="0" w:oddHBand="0" w:evenHBand="0" w:firstRowFirstColumn="0" w:firstRowLastColumn="0" w:lastRowFirstColumn="0" w:lastRowLastColumn="0"/>
              <w:rPr>
                <w:lang w:eastAsia="en-CA"/>
              </w:rPr>
            </w:pPr>
            <w:r>
              <w:rPr>
                <w:rFonts w:ascii="Calibri" w:hAnsi="Calibri" w:cs="Calibri"/>
                <w:color w:val="000000"/>
              </w:rPr>
              <w:t>36</w:t>
            </w:r>
          </w:p>
        </w:tc>
      </w:tr>
      <w:tr w:rsidR="001E66D7" w14:paraId="42955BB5" w14:textId="77777777" w:rsidTr="00131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1E6314A" w14:textId="77777777" w:rsidR="001E66D7" w:rsidRPr="00011350" w:rsidRDefault="001E66D7" w:rsidP="001E66D7">
            <w:pPr>
              <w:ind w:left="170"/>
              <w:rPr>
                <w:b w:val="0"/>
                <w:bCs w:val="0"/>
                <w:lang w:eastAsia="en-CA"/>
              </w:rPr>
            </w:pPr>
            <w:r w:rsidRPr="00011350">
              <w:rPr>
                <w:b w:val="0"/>
                <w:bCs w:val="0"/>
                <w:lang w:eastAsia="en-CA"/>
              </w:rPr>
              <w:t>Insurance, taxes</w:t>
            </w:r>
          </w:p>
        </w:tc>
        <w:tc>
          <w:tcPr>
            <w:tcW w:w="993" w:type="dxa"/>
          </w:tcPr>
          <w:p w14:paraId="66FDA299" w14:textId="4624E402"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sidRPr="00D5281D">
              <w:t>54</w:t>
            </w:r>
          </w:p>
        </w:tc>
        <w:tc>
          <w:tcPr>
            <w:tcW w:w="1189" w:type="dxa"/>
            <w:vAlign w:val="bottom"/>
          </w:tcPr>
          <w:p w14:paraId="2B53A2B2" w14:textId="15E71420" w:rsidR="001E66D7" w:rsidRDefault="001E66D7" w:rsidP="001E66D7">
            <w:pPr>
              <w:ind w:left="170"/>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0</w:t>
            </w:r>
          </w:p>
        </w:tc>
      </w:tr>
      <w:tr w:rsidR="00025E4F" w14:paraId="56890745" w14:textId="77777777" w:rsidTr="00025E4F">
        <w:tc>
          <w:tcPr>
            <w:cnfStyle w:val="001000000000" w:firstRow="0" w:lastRow="0" w:firstColumn="1" w:lastColumn="0" w:oddVBand="0" w:evenVBand="0" w:oddHBand="0" w:evenHBand="0" w:firstRowFirstColumn="0" w:firstRowLastColumn="0" w:lastRowFirstColumn="0" w:lastRowLastColumn="0"/>
            <w:tcW w:w="2551" w:type="dxa"/>
          </w:tcPr>
          <w:p w14:paraId="76EC0ECF" w14:textId="77777777" w:rsidR="00025E4F" w:rsidRPr="00011350" w:rsidRDefault="00025E4F" w:rsidP="00025E4F">
            <w:pPr>
              <w:ind w:left="170"/>
              <w:rPr>
                <w:b w:val="0"/>
                <w:bCs w:val="0"/>
                <w:lang w:eastAsia="en-CA"/>
              </w:rPr>
            </w:pPr>
            <w:r w:rsidRPr="00011350">
              <w:rPr>
                <w:b w:val="0"/>
                <w:bCs w:val="0"/>
                <w:lang w:eastAsia="en-CA"/>
              </w:rPr>
              <w:t xml:space="preserve">Other inputs </w:t>
            </w:r>
          </w:p>
        </w:tc>
        <w:tc>
          <w:tcPr>
            <w:tcW w:w="993" w:type="dxa"/>
            <w:vAlign w:val="bottom"/>
          </w:tcPr>
          <w:p w14:paraId="59011628" w14:textId="413640ED" w:rsidR="00025E4F" w:rsidRDefault="00A96538" w:rsidP="00025E4F">
            <w:pPr>
              <w:ind w:left="170"/>
              <w:jc w:val="right"/>
              <w:cnfStyle w:val="000000000000" w:firstRow="0" w:lastRow="0" w:firstColumn="0" w:lastColumn="0" w:oddVBand="0" w:evenVBand="0" w:oddHBand="0" w:evenHBand="0" w:firstRowFirstColumn="0" w:firstRowLastColumn="0" w:lastRowFirstColumn="0" w:lastRowLastColumn="0"/>
              <w:rPr>
                <w:lang w:eastAsia="en-CA"/>
              </w:rPr>
            </w:pPr>
            <w:r>
              <w:rPr>
                <w:lang w:eastAsia="en-CA"/>
              </w:rPr>
              <w:t>199</w:t>
            </w:r>
          </w:p>
        </w:tc>
        <w:tc>
          <w:tcPr>
            <w:tcW w:w="1189" w:type="dxa"/>
            <w:vAlign w:val="bottom"/>
          </w:tcPr>
          <w:p w14:paraId="19BBD938" w14:textId="33D40678" w:rsidR="00025E4F" w:rsidRDefault="00A96538" w:rsidP="00025E4F">
            <w:pPr>
              <w:ind w:left="170"/>
              <w:jc w:val="right"/>
              <w:cnfStyle w:val="000000000000" w:firstRow="0" w:lastRow="0" w:firstColumn="0" w:lastColumn="0" w:oddVBand="0" w:evenVBand="0" w:oddHBand="0" w:evenHBand="0" w:firstRowFirstColumn="0" w:firstRowLastColumn="0" w:lastRowFirstColumn="0" w:lastRowLastColumn="0"/>
              <w:rPr>
                <w:lang w:eastAsia="en-CA"/>
              </w:rPr>
            </w:pPr>
            <w:r>
              <w:rPr>
                <w:lang w:eastAsia="en-CA"/>
              </w:rPr>
              <w:t>161</w:t>
            </w:r>
          </w:p>
        </w:tc>
      </w:tr>
      <w:tr w:rsidR="00A96538" w14:paraId="346F1D66" w14:textId="77777777" w:rsidTr="0002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1E8B84F" w14:textId="77777777" w:rsidR="00A96538" w:rsidRDefault="00A96538" w:rsidP="00A96538">
            <w:pPr>
              <w:rPr>
                <w:lang w:eastAsia="en-CA"/>
              </w:rPr>
            </w:pPr>
            <w:r>
              <w:rPr>
                <w:lang w:eastAsia="en-CA"/>
              </w:rPr>
              <w:t>Total costs</w:t>
            </w:r>
          </w:p>
        </w:tc>
        <w:tc>
          <w:tcPr>
            <w:tcW w:w="993" w:type="dxa"/>
            <w:vAlign w:val="bottom"/>
          </w:tcPr>
          <w:p w14:paraId="37F38B29" w14:textId="36C9975D" w:rsidR="00A96538" w:rsidRDefault="00A96538" w:rsidP="00A96538">
            <w:pPr>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1,8</w:t>
            </w:r>
            <w:r w:rsidR="001E66D7">
              <w:rPr>
                <w:rFonts w:ascii="Calibri" w:hAnsi="Calibri" w:cs="Calibri"/>
                <w:color w:val="000000"/>
              </w:rPr>
              <w:t>10</w:t>
            </w:r>
          </w:p>
        </w:tc>
        <w:tc>
          <w:tcPr>
            <w:tcW w:w="1189" w:type="dxa"/>
            <w:vAlign w:val="bottom"/>
          </w:tcPr>
          <w:p w14:paraId="152E8348" w14:textId="581B2B09" w:rsidR="00A96538" w:rsidRDefault="00A96538" w:rsidP="00A96538">
            <w:pPr>
              <w:jc w:val="right"/>
              <w:cnfStyle w:val="000000100000" w:firstRow="0" w:lastRow="0" w:firstColumn="0" w:lastColumn="0" w:oddVBand="0" w:evenVBand="0" w:oddHBand="1" w:evenHBand="0" w:firstRowFirstColumn="0" w:firstRowLastColumn="0" w:lastRowFirstColumn="0" w:lastRowLastColumn="0"/>
              <w:rPr>
                <w:lang w:eastAsia="en-CA"/>
              </w:rPr>
            </w:pPr>
            <w:r>
              <w:rPr>
                <w:rFonts w:ascii="Calibri" w:hAnsi="Calibri" w:cs="Calibri"/>
                <w:color w:val="000000"/>
              </w:rPr>
              <w:t>1,288</w:t>
            </w:r>
          </w:p>
        </w:tc>
      </w:tr>
    </w:tbl>
    <w:p w14:paraId="0862D250" w14:textId="3E57B5E8" w:rsidR="00213745" w:rsidRDefault="003A7347" w:rsidP="00215A32">
      <w:pPr>
        <w:pStyle w:val="Heading2"/>
        <w:spacing w:before="120" w:line="360" w:lineRule="auto"/>
        <w:rPr>
          <w:rFonts w:asciiTheme="minorHAnsi" w:hAnsiTheme="minorHAnsi" w:cstheme="minorHAnsi"/>
          <w:lang w:eastAsia="en-CA"/>
        </w:rPr>
      </w:pPr>
      <w:r>
        <w:rPr>
          <w:rFonts w:asciiTheme="minorHAnsi" w:hAnsiTheme="minorHAnsi" w:cstheme="minorHAnsi"/>
          <w:lang w:eastAsia="en-CA"/>
        </w:rPr>
        <w:t xml:space="preserve">Cost </w:t>
      </w:r>
      <w:r w:rsidR="002469EB">
        <w:rPr>
          <w:rFonts w:asciiTheme="minorHAnsi" w:hAnsiTheme="minorHAnsi" w:cstheme="minorHAnsi"/>
          <w:lang w:eastAsia="en-CA"/>
        </w:rPr>
        <w:t>S</w:t>
      </w:r>
      <w:r>
        <w:rPr>
          <w:rFonts w:asciiTheme="minorHAnsi" w:hAnsiTheme="minorHAnsi" w:cstheme="minorHAnsi"/>
          <w:lang w:eastAsia="en-CA"/>
        </w:rPr>
        <w:t>tructure</w:t>
      </w:r>
    </w:p>
    <w:p w14:paraId="091D14F6" w14:textId="4EFE92F3" w:rsidR="00A96538" w:rsidRDefault="00A96538" w:rsidP="00025E4F">
      <w:pPr>
        <w:rPr>
          <w:lang w:eastAsia="en-CA"/>
        </w:rPr>
      </w:pPr>
      <w:r w:rsidRPr="000C3CC6">
        <w:rPr>
          <w:b/>
          <w:bCs/>
          <w:lang w:eastAsia="en-CA"/>
        </w:rPr>
        <w:t>Total costs</w:t>
      </w:r>
      <w:r>
        <w:rPr>
          <w:lang w:eastAsia="en-CA"/>
        </w:rPr>
        <w:t xml:space="preserve"> can be broken down as land, labour, capital, and non-factor costs. Per-cow total land costs are higher on </w:t>
      </w:r>
      <w:r w:rsidR="00DF75AC" w:rsidRPr="00DF75AC">
        <w:rPr>
          <w:b/>
          <w:lang w:eastAsia="en-CA"/>
        </w:rPr>
        <w:t>US-160-0</w:t>
      </w:r>
      <w:r>
        <w:rPr>
          <w:lang w:eastAsia="en-CA"/>
        </w:rPr>
        <w:t xml:space="preserve">, while total labour, capital, and non-factor costs are higher on </w:t>
      </w:r>
      <w:r w:rsidR="00DF75AC" w:rsidRPr="00DF75AC">
        <w:rPr>
          <w:b/>
          <w:lang w:eastAsia="en-CA"/>
        </w:rPr>
        <w:t>SK-5</w:t>
      </w:r>
      <w:r>
        <w:rPr>
          <w:lang w:eastAsia="en-CA"/>
        </w:rPr>
        <w:t>. Cost structure, wherein these costs are presented as a percentage of total costs, is also variable between the two farms.</w:t>
      </w:r>
    </w:p>
    <w:p w14:paraId="563B8B54" w14:textId="39236F65" w:rsidR="00A96538" w:rsidRDefault="00A96538" w:rsidP="00025E4F">
      <w:pPr>
        <w:rPr>
          <w:lang w:eastAsia="en-CA"/>
        </w:rPr>
      </w:pPr>
      <w:r>
        <w:rPr>
          <w:b/>
          <w:bCs/>
          <w:lang w:eastAsia="en-CA"/>
        </w:rPr>
        <w:t>Land costs</w:t>
      </w:r>
      <w:r>
        <w:rPr>
          <w:lang w:eastAsia="en-CA"/>
        </w:rPr>
        <w:t xml:space="preserve"> account f</w:t>
      </w:r>
      <w:r w:rsidR="002B53E1">
        <w:rPr>
          <w:lang w:eastAsia="en-CA"/>
        </w:rPr>
        <w:t>o</w:t>
      </w:r>
      <w:r>
        <w:rPr>
          <w:lang w:eastAsia="en-CA"/>
        </w:rPr>
        <w:t xml:space="preserve">r 13% of total costs on </w:t>
      </w:r>
      <w:r w:rsidR="00DF75AC" w:rsidRPr="00DF75AC">
        <w:rPr>
          <w:b/>
          <w:lang w:eastAsia="en-CA"/>
        </w:rPr>
        <w:t>SK-5</w:t>
      </w:r>
      <w:r>
        <w:rPr>
          <w:lang w:eastAsia="en-CA"/>
        </w:rPr>
        <w:t xml:space="preserve">, and 40% of total costs on </w:t>
      </w:r>
      <w:r w:rsidR="00DF75AC" w:rsidRPr="00DF75AC">
        <w:rPr>
          <w:b/>
          <w:lang w:eastAsia="en-CA"/>
        </w:rPr>
        <w:t>US-160-0</w:t>
      </w:r>
      <w:r>
        <w:rPr>
          <w:lang w:eastAsia="en-CA"/>
        </w:rPr>
        <w:t xml:space="preserve">. While US-60-0 </w:t>
      </w:r>
      <w:r w:rsidR="00DF5BFD">
        <w:rPr>
          <w:lang w:eastAsia="en-CA"/>
        </w:rPr>
        <w:t>maintains</w:t>
      </w:r>
      <w:r>
        <w:rPr>
          <w:lang w:eastAsia="en-CA"/>
        </w:rPr>
        <w:t xml:space="preserve"> a smaller land-base (1,7</w:t>
      </w:r>
      <w:r w:rsidR="008E2261">
        <w:rPr>
          <w:lang w:eastAsia="en-CA"/>
        </w:rPr>
        <w:t xml:space="preserve">21 ac) than </w:t>
      </w:r>
      <w:r w:rsidR="00DF75AC" w:rsidRPr="00DF75AC">
        <w:rPr>
          <w:b/>
          <w:lang w:eastAsia="en-CA"/>
        </w:rPr>
        <w:t>SK-5</w:t>
      </w:r>
      <w:r w:rsidR="008E2261">
        <w:rPr>
          <w:lang w:eastAsia="en-CA"/>
        </w:rPr>
        <w:t xml:space="preserve"> (1,293 ac), and a smaller cow herd, per-cow land costs are over twice that of </w:t>
      </w:r>
      <w:r w:rsidR="00DF75AC" w:rsidRPr="00DF75AC">
        <w:rPr>
          <w:b/>
          <w:lang w:eastAsia="en-CA"/>
        </w:rPr>
        <w:t>SK-5</w:t>
      </w:r>
      <w:r w:rsidR="008E2261">
        <w:rPr>
          <w:lang w:eastAsia="en-CA"/>
        </w:rPr>
        <w:t xml:space="preserve">. This is due to differences in land rents. Between rents paid and rents calculated for owned land, average land rents are $48/ac on </w:t>
      </w:r>
      <w:r w:rsidR="00DF75AC" w:rsidRPr="00DF75AC">
        <w:rPr>
          <w:b/>
          <w:lang w:eastAsia="en-CA"/>
        </w:rPr>
        <w:t>US-160-0</w:t>
      </w:r>
      <w:r w:rsidR="008E2261">
        <w:rPr>
          <w:lang w:eastAsia="en-CA"/>
        </w:rPr>
        <w:t xml:space="preserve">, as compared to $14/ac on </w:t>
      </w:r>
      <w:r w:rsidR="00DF75AC" w:rsidRPr="00DF75AC">
        <w:rPr>
          <w:b/>
          <w:lang w:eastAsia="en-CA"/>
        </w:rPr>
        <w:t>SK-5</w:t>
      </w:r>
      <w:r w:rsidR="008E2261">
        <w:rPr>
          <w:lang w:eastAsia="en-CA"/>
        </w:rPr>
        <w:t>.</w:t>
      </w:r>
    </w:p>
    <w:p w14:paraId="578C7BFB" w14:textId="29EFD22A" w:rsidR="008E2261" w:rsidRDefault="008E2261" w:rsidP="00025E4F">
      <w:pPr>
        <w:rPr>
          <w:lang w:eastAsia="en-CA"/>
        </w:rPr>
      </w:pPr>
      <w:r>
        <w:rPr>
          <w:b/>
          <w:bCs/>
          <w:lang w:eastAsia="en-CA"/>
        </w:rPr>
        <w:t>Labour costs</w:t>
      </w:r>
      <w:r>
        <w:rPr>
          <w:lang w:eastAsia="en-CA"/>
        </w:rPr>
        <w:t xml:space="preserve"> account for 29% of total costs on </w:t>
      </w:r>
      <w:r w:rsidR="00DF75AC" w:rsidRPr="00DF75AC">
        <w:rPr>
          <w:b/>
          <w:lang w:eastAsia="en-CA"/>
        </w:rPr>
        <w:t>SK-5</w:t>
      </w:r>
      <w:r>
        <w:rPr>
          <w:lang w:eastAsia="en-CA"/>
        </w:rPr>
        <w:t xml:space="preserve">, and only 8% of total costs on </w:t>
      </w:r>
      <w:r w:rsidR="00DF75AC" w:rsidRPr="00DF75AC">
        <w:rPr>
          <w:b/>
          <w:lang w:eastAsia="en-CA"/>
        </w:rPr>
        <w:t>US-160-0</w:t>
      </w:r>
      <w:r>
        <w:rPr>
          <w:lang w:eastAsia="en-CA"/>
        </w:rPr>
        <w:t xml:space="preserve">. Total labour hours on </w:t>
      </w:r>
      <w:r w:rsidR="00DF75AC" w:rsidRPr="00DF75AC">
        <w:rPr>
          <w:b/>
          <w:lang w:eastAsia="en-CA"/>
        </w:rPr>
        <w:t>SK-5</w:t>
      </w:r>
      <w:r>
        <w:rPr>
          <w:lang w:eastAsia="en-CA"/>
        </w:rPr>
        <w:t xml:space="preserve"> are 3,331 hrs, over 6 times the total labour hours logged on </w:t>
      </w:r>
      <w:r w:rsidR="00DF75AC" w:rsidRPr="00DF75AC">
        <w:rPr>
          <w:b/>
          <w:lang w:eastAsia="en-CA"/>
        </w:rPr>
        <w:t>US-160-0</w:t>
      </w:r>
      <w:r w:rsidR="000C05AA">
        <w:rPr>
          <w:lang w:eastAsia="en-CA"/>
        </w:rPr>
        <w:t xml:space="preserve"> (530 hrs). The difference in total labour hours overcomes the difference in labour prices, which are higher on </w:t>
      </w:r>
      <w:r w:rsidR="00DF75AC" w:rsidRPr="00DF75AC">
        <w:rPr>
          <w:b/>
          <w:lang w:eastAsia="en-CA"/>
        </w:rPr>
        <w:t>US-160-0</w:t>
      </w:r>
      <w:r w:rsidR="000C05AA">
        <w:rPr>
          <w:lang w:eastAsia="en-CA"/>
        </w:rPr>
        <w:t xml:space="preserve">, at an average $28.77/hr, as compared to $21.46/hr on </w:t>
      </w:r>
      <w:r w:rsidR="00DF75AC" w:rsidRPr="00DF75AC">
        <w:rPr>
          <w:b/>
          <w:lang w:eastAsia="en-CA"/>
        </w:rPr>
        <w:t>SK-5</w:t>
      </w:r>
      <w:r w:rsidR="000C05AA">
        <w:rPr>
          <w:lang w:eastAsia="en-CA"/>
        </w:rPr>
        <w:t xml:space="preserve">. Both farms utilize both hired and unpaid </w:t>
      </w:r>
      <w:r w:rsidR="000C05AA" w:rsidRPr="000C05AA">
        <w:rPr>
          <w:lang w:eastAsia="en-CA"/>
        </w:rPr>
        <w:t>family</w:t>
      </w:r>
      <w:r w:rsidR="000C05AA">
        <w:rPr>
          <w:lang w:eastAsia="en-CA"/>
        </w:rPr>
        <w:t xml:space="preserve"> labour. Unpaid family labour hours account for 46% and 68% of total labour hours on </w:t>
      </w:r>
      <w:r w:rsidR="00DF75AC" w:rsidRPr="00DF75AC">
        <w:rPr>
          <w:b/>
          <w:lang w:eastAsia="en-CA"/>
        </w:rPr>
        <w:t>SK-5</w:t>
      </w:r>
      <w:r w:rsidR="000C05AA">
        <w:rPr>
          <w:lang w:eastAsia="en-CA"/>
        </w:rPr>
        <w:t xml:space="preserve"> and </w:t>
      </w:r>
      <w:r w:rsidR="00DF75AC" w:rsidRPr="00DF75AC">
        <w:rPr>
          <w:b/>
          <w:lang w:eastAsia="en-CA"/>
        </w:rPr>
        <w:t>US-160-0</w:t>
      </w:r>
      <w:r w:rsidR="000C05AA">
        <w:rPr>
          <w:lang w:eastAsia="en-CA"/>
        </w:rPr>
        <w:t xml:space="preserve">, respectively.  </w:t>
      </w:r>
    </w:p>
    <w:p w14:paraId="6E316ACD" w14:textId="282FAEB4" w:rsidR="000C05AA" w:rsidRDefault="005C7340" w:rsidP="00025E4F">
      <w:pPr>
        <w:rPr>
          <w:lang w:eastAsia="en-CA"/>
        </w:rPr>
      </w:pPr>
      <w:r>
        <w:rPr>
          <w:noProof/>
        </w:rPr>
        <w:drawing>
          <wp:anchor distT="0" distB="0" distL="114300" distR="114300" simplePos="0" relativeHeight="251666432" behindDoc="0" locked="0" layoutInCell="1" allowOverlap="1" wp14:anchorId="1FB0CA80" wp14:editId="1F292495">
            <wp:simplePos x="0" y="0"/>
            <wp:positionH relativeFrom="margin">
              <wp:posOffset>-638175</wp:posOffset>
            </wp:positionH>
            <wp:positionV relativeFrom="paragraph">
              <wp:posOffset>518795</wp:posOffset>
            </wp:positionV>
            <wp:extent cx="4781550" cy="2238375"/>
            <wp:effectExtent l="0" t="0" r="0" b="0"/>
            <wp:wrapSquare wrapText="bothSides"/>
            <wp:docPr id="3" name="Chart 3">
              <a:extLst xmlns:a="http://schemas.openxmlformats.org/drawingml/2006/main">
                <a:ext uri="{FF2B5EF4-FFF2-40B4-BE49-F238E27FC236}">
                  <a16:creationId xmlns:a16="http://schemas.microsoft.com/office/drawing/2014/main" id="{6A710CD4-36E9-93D1-E080-E30B5499E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96F50">
        <w:rPr>
          <w:noProof/>
        </w:rPr>
        <w:drawing>
          <wp:anchor distT="0" distB="0" distL="114300" distR="114300" simplePos="0" relativeHeight="251665408" behindDoc="0" locked="0" layoutInCell="1" allowOverlap="1" wp14:anchorId="67622198" wp14:editId="196A53DA">
            <wp:simplePos x="0" y="0"/>
            <wp:positionH relativeFrom="page">
              <wp:align>right</wp:align>
            </wp:positionH>
            <wp:positionV relativeFrom="paragraph">
              <wp:posOffset>504190</wp:posOffset>
            </wp:positionV>
            <wp:extent cx="5476875" cy="2253600"/>
            <wp:effectExtent l="0" t="0" r="0" b="0"/>
            <wp:wrapSquare wrapText="bothSides"/>
            <wp:docPr id="8" name="Chart 8">
              <a:extLst xmlns:a="http://schemas.openxmlformats.org/drawingml/2006/main">
                <a:ext uri="{FF2B5EF4-FFF2-40B4-BE49-F238E27FC236}">
                  <a16:creationId xmlns:a16="http://schemas.microsoft.com/office/drawing/2014/main" id="{CD129D06-76AB-883E-E24D-3AA16AC99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A96F50">
        <w:rPr>
          <w:noProof/>
        </w:rPr>
        <w:drawing>
          <wp:anchor distT="0" distB="0" distL="114300" distR="114300" simplePos="0" relativeHeight="251664384" behindDoc="1" locked="0" layoutInCell="1" allowOverlap="1" wp14:anchorId="09FB6019" wp14:editId="0FF7F195">
            <wp:simplePos x="0" y="0"/>
            <wp:positionH relativeFrom="page">
              <wp:align>left</wp:align>
            </wp:positionH>
            <wp:positionV relativeFrom="paragraph">
              <wp:posOffset>503429</wp:posOffset>
            </wp:positionV>
            <wp:extent cx="5440643" cy="2254250"/>
            <wp:effectExtent l="0" t="0" r="0" b="0"/>
            <wp:wrapSquare wrapText="bothSides"/>
            <wp:docPr id="7" name="Chart 7">
              <a:extLst xmlns:a="http://schemas.openxmlformats.org/drawingml/2006/main">
                <a:ext uri="{FF2B5EF4-FFF2-40B4-BE49-F238E27FC236}">
                  <a16:creationId xmlns:a16="http://schemas.microsoft.com/office/drawing/2014/main" id="{6A710CD4-36E9-93D1-E080-E30B5499E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C05AA">
        <w:rPr>
          <w:b/>
          <w:bCs/>
          <w:lang w:eastAsia="en-CA"/>
        </w:rPr>
        <w:t>Capital costs</w:t>
      </w:r>
      <w:r w:rsidR="000C05AA">
        <w:rPr>
          <w:lang w:eastAsia="en-CA"/>
        </w:rPr>
        <w:t xml:space="preserve"> are the smallest share of total costs on both farms. Capital costs account of 10% of total costs on </w:t>
      </w:r>
      <w:r w:rsidR="00DF75AC" w:rsidRPr="00DF75AC">
        <w:rPr>
          <w:b/>
          <w:lang w:eastAsia="en-CA"/>
        </w:rPr>
        <w:t>SK-5</w:t>
      </w:r>
      <w:r w:rsidR="000C05AA">
        <w:rPr>
          <w:lang w:eastAsia="en-CA"/>
        </w:rPr>
        <w:t xml:space="preserve">, of which all costs are interest on liabilities. On </w:t>
      </w:r>
      <w:r w:rsidR="00DF75AC" w:rsidRPr="00DF75AC">
        <w:rPr>
          <w:b/>
          <w:lang w:eastAsia="en-CA"/>
        </w:rPr>
        <w:t>US-160-0</w:t>
      </w:r>
      <w:r w:rsidR="000C05AA">
        <w:rPr>
          <w:lang w:eastAsia="en-CA"/>
        </w:rPr>
        <w:t xml:space="preserve">, capital costs account for only 2% of total costs, with </w:t>
      </w:r>
      <w:proofErr w:type="gramStart"/>
      <w:r w:rsidR="000C05AA">
        <w:rPr>
          <w:lang w:eastAsia="en-CA"/>
        </w:rPr>
        <w:t>the majority of</w:t>
      </w:r>
      <w:proofErr w:type="gramEnd"/>
      <w:r w:rsidR="000C05AA">
        <w:rPr>
          <w:lang w:eastAsia="en-CA"/>
        </w:rPr>
        <w:t xml:space="preserve"> capital costs (67%) as own capital.</w:t>
      </w:r>
    </w:p>
    <w:p w14:paraId="668C4798" w14:textId="49A709CC" w:rsidR="00A96F50" w:rsidRPr="00F84EB6" w:rsidRDefault="00F84EB6" w:rsidP="00025E4F">
      <w:pPr>
        <w:rPr>
          <w:lang w:eastAsia="en-CA"/>
        </w:rPr>
      </w:pPr>
      <w:r w:rsidRPr="00F84EB6">
        <w:rPr>
          <w:b/>
          <w:bCs/>
          <w:lang w:eastAsia="en-CA"/>
        </w:rPr>
        <w:lastRenderedPageBreak/>
        <w:t>Non-factor costs</w:t>
      </w:r>
      <w:r>
        <w:rPr>
          <w:lang w:eastAsia="en-CA"/>
        </w:rPr>
        <w:t xml:space="preserve"> account for the largest share of total costs, at 48% of total costs on </w:t>
      </w:r>
      <w:r w:rsidR="00DF75AC" w:rsidRPr="00DF75AC">
        <w:rPr>
          <w:b/>
          <w:lang w:eastAsia="en-CA"/>
        </w:rPr>
        <w:t>SK-5</w:t>
      </w:r>
      <w:r>
        <w:rPr>
          <w:lang w:eastAsia="en-CA"/>
        </w:rPr>
        <w:t xml:space="preserve">, and a similar 50% of total costs on </w:t>
      </w:r>
      <w:r w:rsidR="00DF75AC" w:rsidRPr="00DF75AC">
        <w:rPr>
          <w:b/>
          <w:lang w:eastAsia="en-CA"/>
        </w:rPr>
        <w:t>US-160-0</w:t>
      </w:r>
      <w:r>
        <w:rPr>
          <w:lang w:eastAsia="en-CA"/>
        </w:rPr>
        <w:t xml:space="preserve">. On both farms, the most significant non-factor costs are </w:t>
      </w:r>
      <w:r>
        <w:rPr>
          <w:b/>
          <w:bCs/>
          <w:lang w:eastAsia="en-CA"/>
        </w:rPr>
        <w:t>feed costs</w:t>
      </w:r>
      <w:r>
        <w:rPr>
          <w:lang w:eastAsia="en-CA"/>
        </w:rPr>
        <w:t xml:space="preserve">. These account for 27% of non-factor and 13% of total costs on </w:t>
      </w:r>
      <w:r w:rsidR="00DF75AC" w:rsidRPr="00DF75AC">
        <w:rPr>
          <w:b/>
          <w:lang w:eastAsia="en-CA"/>
        </w:rPr>
        <w:t>SK-5</w:t>
      </w:r>
      <w:r>
        <w:rPr>
          <w:lang w:eastAsia="en-CA"/>
        </w:rPr>
        <w:t xml:space="preserve">, and 53% of non-factor and 27% of total costs on </w:t>
      </w:r>
      <w:r w:rsidR="00DF75AC" w:rsidRPr="00DF75AC">
        <w:rPr>
          <w:b/>
          <w:lang w:eastAsia="en-CA"/>
        </w:rPr>
        <w:t>US-160-0</w:t>
      </w:r>
      <w:r>
        <w:rPr>
          <w:lang w:eastAsia="en-CA"/>
        </w:rPr>
        <w:t>.</w:t>
      </w:r>
      <w:r w:rsidR="0091505E">
        <w:rPr>
          <w:lang w:eastAsia="en-CA"/>
        </w:rPr>
        <w:t xml:space="preserve"> Despite differences in amount of feed purchased, purchased feed is the feed cost on both farms, followed by inputs for homegrown feed production. Other significant non-factor costs on </w:t>
      </w:r>
      <w:r w:rsidR="00DF75AC" w:rsidRPr="00DF75AC">
        <w:rPr>
          <w:b/>
          <w:lang w:eastAsia="en-CA"/>
        </w:rPr>
        <w:t>SK-5</w:t>
      </w:r>
      <w:r w:rsidR="0091505E">
        <w:rPr>
          <w:lang w:eastAsia="en-CA"/>
        </w:rPr>
        <w:t xml:space="preserve"> are </w:t>
      </w:r>
      <w:r w:rsidR="0091505E" w:rsidRPr="0091505E">
        <w:rPr>
          <w:b/>
          <w:bCs/>
          <w:lang w:eastAsia="en-CA"/>
        </w:rPr>
        <w:t>fuel, energy, and lubricants</w:t>
      </w:r>
      <w:r w:rsidR="0091505E">
        <w:rPr>
          <w:lang w:eastAsia="en-CA"/>
        </w:rPr>
        <w:t xml:space="preserve"> (15% of non-factor costs), primarily diesel for vehicles, and </w:t>
      </w:r>
      <w:r w:rsidR="0091505E" w:rsidRPr="0091505E">
        <w:rPr>
          <w:b/>
          <w:bCs/>
          <w:lang w:eastAsia="en-CA"/>
        </w:rPr>
        <w:t>building</w:t>
      </w:r>
      <w:r w:rsidR="0091505E">
        <w:rPr>
          <w:lang w:eastAsia="en-CA"/>
        </w:rPr>
        <w:t xml:space="preserve"> costs (12%). On </w:t>
      </w:r>
      <w:r w:rsidR="00DF75AC" w:rsidRPr="00DF75AC">
        <w:rPr>
          <w:b/>
          <w:lang w:eastAsia="en-CA"/>
        </w:rPr>
        <w:t>US-160-0</w:t>
      </w:r>
      <w:r w:rsidR="0091505E">
        <w:rPr>
          <w:lang w:eastAsia="en-CA"/>
        </w:rPr>
        <w:t>, general farm maintenance and spare parts (classified as “other” cow-calf inputs) is the next-largest non-factor costs (</w:t>
      </w:r>
      <w:r w:rsidR="007A47E0">
        <w:rPr>
          <w:lang w:eastAsia="en-CA"/>
        </w:rPr>
        <w:t xml:space="preserve">$92/cow or 14% of non-factor costs). </w:t>
      </w:r>
    </w:p>
    <w:p w14:paraId="407A9EF0" w14:textId="77777777" w:rsidR="001F4E4F" w:rsidRDefault="006F7147" w:rsidP="006F7147">
      <w:pPr>
        <w:pStyle w:val="Heading1"/>
        <w:spacing w:line="22" w:lineRule="atLeast"/>
        <w:rPr>
          <w:rFonts w:asciiTheme="minorHAnsi" w:hAnsiTheme="minorHAnsi" w:cstheme="minorHAnsi"/>
          <w:b/>
          <w:bCs/>
          <w:sz w:val="28"/>
          <w:szCs w:val="28"/>
        </w:rPr>
      </w:pPr>
      <w:r>
        <w:rPr>
          <w:rFonts w:asciiTheme="minorHAnsi" w:hAnsiTheme="minorHAnsi" w:cstheme="minorHAnsi"/>
          <w:b/>
          <w:bCs/>
          <w:sz w:val="28"/>
          <w:szCs w:val="28"/>
        </w:rPr>
        <w:t>Whole Farm</w:t>
      </w:r>
    </w:p>
    <w:tbl>
      <w:tblPr>
        <w:tblStyle w:val="GridTable4-Accent1"/>
        <w:tblpPr w:leftFromText="180" w:rightFromText="180" w:vertAnchor="page" w:horzAnchor="margin" w:tblpXSpec="right" w:tblpY="3986"/>
        <w:tblW w:w="4952" w:type="dxa"/>
        <w:tblLayout w:type="fixed"/>
        <w:tblLook w:val="04A0" w:firstRow="1" w:lastRow="0" w:firstColumn="1" w:lastColumn="0" w:noHBand="0" w:noVBand="1"/>
      </w:tblPr>
      <w:tblGrid>
        <w:gridCol w:w="2397"/>
        <w:gridCol w:w="8"/>
        <w:gridCol w:w="1272"/>
        <w:gridCol w:w="1275"/>
      </w:tblGrid>
      <w:tr w:rsidR="001F4E4F" w:rsidRPr="007B1EE3" w14:paraId="4126B6F6" w14:textId="77777777" w:rsidTr="001F4E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gridSpan w:val="4"/>
            <w:hideMark/>
          </w:tcPr>
          <w:p w14:paraId="3B3025CB" w14:textId="77777777" w:rsidR="001F4E4F" w:rsidRPr="007B1EE3" w:rsidRDefault="001F4E4F" w:rsidP="001F4E4F">
            <w:pPr>
              <w:rPr>
                <w:rFonts w:ascii="Calibri" w:eastAsia="Times New Roman" w:hAnsi="Calibri" w:cs="Calibri"/>
                <w:b w:val="0"/>
                <w:bCs w:val="0"/>
                <w:color w:val="FFFFFF"/>
                <w:lang w:eastAsia="en-CA"/>
              </w:rPr>
            </w:pPr>
            <w:r w:rsidRPr="007B1EE3">
              <w:rPr>
                <w:rFonts w:ascii="Calibri" w:eastAsia="Times New Roman" w:hAnsi="Calibri" w:cs="Calibri"/>
                <w:lang w:eastAsia="en-CA"/>
              </w:rPr>
              <w:t>Whole-farm cost and profit</w:t>
            </w:r>
          </w:p>
        </w:tc>
      </w:tr>
      <w:tr w:rsidR="001F4E4F" w:rsidRPr="007B1EE3" w14:paraId="3349EE01"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shd w:val="clear" w:color="auto" w:fill="4472C4" w:themeFill="accent1"/>
            <w:hideMark/>
          </w:tcPr>
          <w:p w14:paraId="0545C985" w14:textId="77777777" w:rsidR="001F4E4F" w:rsidRPr="007B1EE3" w:rsidRDefault="001F4E4F" w:rsidP="001F4E4F">
            <w:pPr>
              <w:rPr>
                <w:rFonts w:ascii="Calibri" w:eastAsia="Times New Roman" w:hAnsi="Calibri" w:cs="Calibri"/>
                <w:b w:val="0"/>
                <w:bCs w:val="0"/>
                <w:color w:val="FFFFFF"/>
                <w:lang w:eastAsia="en-CA"/>
              </w:rPr>
            </w:pPr>
            <w:r w:rsidRPr="007B1EE3">
              <w:rPr>
                <w:rFonts w:ascii="Calibri" w:eastAsia="Times New Roman" w:hAnsi="Calibri" w:cs="Calibri"/>
                <w:color w:val="FFFFFF" w:themeColor="background1"/>
                <w:lang w:eastAsia="en-CA"/>
              </w:rPr>
              <w:t>Costs ($)</w:t>
            </w:r>
          </w:p>
        </w:tc>
        <w:tc>
          <w:tcPr>
            <w:tcW w:w="1280" w:type="dxa"/>
            <w:gridSpan w:val="2"/>
            <w:shd w:val="clear" w:color="auto" w:fill="4472C4" w:themeFill="accent1"/>
            <w:vAlign w:val="center"/>
            <w:hideMark/>
          </w:tcPr>
          <w:p w14:paraId="6150B819" w14:textId="77777777" w:rsidR="001F4E4F" w:rsidRPr="00215A32" w:rsidRDefault="001F4E4F" w:rsidP="001F4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n-CA"/>
              </w:rPr>
            </w:pPr>
            <w:r w:rsidRPr="00215A32">
              <w:rPr>
                <w:b/>
                <w:bCs/>
                <w:color w:val="FFFFFF" w:themeColor="background1"/>
              </w:rPr>
              <w:t>SK-5</w:t>
            </w:r>
          </w:p>
        </w:tc>
        <w:tc>
          <w:tcPr>
            <w:tcW w:w="1275" w:type="dxa"/>
            <w:shd w:val="clear" w:color="auto" w:fill="4472C4" w:themeFill="accent1"/>
            <w:vAlign w:val="center"/>
            <w:hideMark/>
          </w:tcPr>
          <w:p w14:paraId="70B38D8A" w14:textId="27E4512F" w:rsidR="001F4E4F" w:rsidRPr="00215A32" w:rsidRDefault="00DF75AC" w:rsidP="001F4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n-CA"/>
              </w:rPr>
            </w:pPr>
            <w:r>
              <w:rPr>
                <w:b/>
                <w:bCs/>
                <w:color w:val="FFFFFF" w:themeColor="background1"/>
              </w:rPr>
              <w:t>US-160-0</w:t>
            </w:r>
          </w:p>
        </w:tc>
      </w:tr>
      <w:tr w:rsidR="001F4E4F" w:rsidRPr="007B1EE3" w14:paraId="484A7DAB"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4952" w:type="dxa"/>
            <w:gridSpan w:val="4"/>
            <w:hideMark/>
          </w:tcPr>
          <w:p w14:paraId="363C7468" w14:textId="77777777" w:rsidR="001F4E4F" w:rsidRPr="007B1EE3" w:rsidRDefault="001F4E4F" w:rsidP="001F4E4F">
            <w:pPr>
              <w:rPr>
                <w:rFonts w:ascii="Calibri" w:eastAsia="Times New Roman" w:hAnsi="Calibri" w:cs="Calibri"/>
                <w:b w:val="0"/>
                <w:bCs w:val="0"/>
                <w:color w:val="000000"/>
                <w:lang w:eastAsia="en-CA"/>
              </w:rPr>
            </w:pPr>
            <w:r w:rsidRPr="007B1EE3">
              <w:rPr>
                <w:rFonts w:ascii="Calibri" w:eastAsia="Times New Roman" w:hAnsi="Calibri" w:cs="Calibri"/>
                <w:color w:val="000000"/>
                <w:lang w:eastAsia="en-CA"/>
              </w:rPr>
              <w:t>Revenue</w:t>
            </w:r>
          </w:p>
        </w:tc>
      </w:tr>
      <w:tr w:rsidR="005B670B" w:rsidRPr="007B1EE3" w14:paraId="3BE54D64" w14:textId="77777777" w:rsidTr="00184C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6CC3D253" w14:textId="77777777" w:rsidR="005B670B" w:rsidRPr="00BB5290" w:rsidRDefault="005B670B" w:rsidP="005B670B">
            <w:pPr>
              <w:rPr>
                <w:rFonts w:ascii="Calibri" w:eastAsia="Times New Roman" w:hAnsi="Calibri" w:cs="Calibri"/>
                <w:b w:val="0"/>
                <w:bCs w:val="0"/>
                <w:color w:val="000000"/>
                <w:lang w:eastAsia="en-CA"/>
              </w:rPr>
            </w:pPr>
            <w:r w:rsidRPr="00BB5290">
              <w:rPr>
                <w:rFonts w:ascii="Calibri" w:eastAsia="Times New Roman" w:hAnsi="Calibri" w:cs="Calibri"/>
                <w:b w:val="0"/>
                <w:bCs w:val="0"/>
                <w:lang w:eastAsia="en-CA"/>
              </w:rPr>
              <w:t>Market revenue</w:t>
            </w:r>
          </w:p>
        </w:tc>
        <w:tc>
          <w:tcPr>
            <w:tcW w:w="1280" w:type="dxa"/>
            <w:gridSpan w:val="2"/>
          </w:tcPr>
          <w:p w14:paraId="2F68A5C0" w14:textId="4FB3F35D" w:rsidR="005B670B" w:rsidRPr="007B1EE3" w:rsidRDefault="005B670B" w:rsidP="005B67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980939">
              <w:t>156,367</w:t>
            </w:r>
          </w:p>
        </w:tc>
        <w:tc>
          <w:tcPr>
            <w:tcW w:w="1275" w:type="dxa"/>
            <w:vAlign w:val="bottom"/>
          </w:tcPr>
          <w:p w14:paraId="5CAB8A4B" w14:textId="77777777" w:rsidR="005B670B" w:rsidRPr="007B1EE3" w:rsidRDefault="005B670B" w:rsidP="005B670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907,116</w:t>
            </w:r>
          </w:p>
        </w:tc>
      </w:tr>
      <w:tr w:rsidR="005B670B" w:rsidRPr="007B1EE3" w14:paraId="0273C0A9" w14:textId="77777777" w:rsidTr="00184CFC">
        <w:trPr>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66D6CF9D" w14:textId="77777777" w:rsidR="005B670B" w:rsidRPr="00BB5290" w:rsidRDefault="005B670B" w:rsidP="005B670B">
            <w:pPr>
              <w:ind w:firstLineChars="100" w:firstLine="220"/>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Cow-calf</w:t>
            </w:r>
          </w:p>
        </w:tc>
        <w:tc>
          <w:tcPr>
            <w:tcW w:w="1280" w:type="dxa"/>
            <w:gridSpan w:val="2"/>
          </w:tcPr>
          <w:p w14:paraId="59E7B584" w14:textId="29DC767F" w:rsidR="005B670B" w:rsidRPr="007B1EE3" w:rsidRDefault="005B670B" w:rsidP="005B670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80939">
              <w:t>146,509</w:t>
            </w:r>
          </w:p>
        </w:tc>
        <w:tc>
          <w:tcPr>
            <w:tcW w:w="1275" w:type="dxa"/>
            <w:vAlign w:val="bottom"/>
          </w:tcPr>
          <w:p w14:paraId="292B6FFB" w14:textId="77777777" w:rsidR="005B670B" w:rsidRPr="007B1EE3" w:rsidRDefault="005B670B" w:rsidP="005B670B">
            <w:pPr>
              <w:ind w:firstLineChars="100" w:firstLine="2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165,536</w:t>
            </w:r>
          </w:p>
        </w:tc>
      </w:tr>
      <w:tr w:rsidR="001F4E4F" w:rsidRPr="007B1EE3" w14:paraId="51CDF6C5"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2DB2CA05" w14:textId="77777777" w:rsidR="001F4E4F" w:rsidRPr="00BB5290" w:rsidRDefault="001F4E4F" w:rsidP="001F4E4F">
            <w:pPr>
              <w:ind w:firstLineChars="100" w:firstLine="220"/>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Cash crop</w:t>
            </w:r>
          </w:p>
        </w:tc>
        <w:tc>
          <w:tcPr>
            <w:tcW w:w="1280" w:type="dxa"/>
            <w:gridSpan w:val="2"/>
            <w:vAlign w:val="bottom"/>
          </w:tcPr>
          <w:p w14:paraId="3EFCE541" w14:textId="5FA7607B" w:rsidR="001F4E4F" w:rsidRPr="007B1EE3" w:rsidRDefault="005B670B" w:rsidP="001F4E4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5B670B">
              <w:rPr>
                <w:rFonts w:ascii="Calibri" w:hAnsi="Calibri" w:cs="Calibri"/>
                <w:color w:val="000000"/>
              </w:rPr>
              <w:t>9,858</w:t>
            </w:r>
          </w:p>
        </w:tc>
        <w:tc>
          <w:tcPr>
            <w:tcW w:w="1275" w:type="dxa"/>
            <w:vAlign w:val="bottom"/>
          </w:tcPr>
          <w:p w14:paraId="06F3CB61" w14:textId="77777777" w:rsidR="001F4E4F" w:rsidRPr="007B1EE3" w:rsidRDefault="001F4E4F" w:rsidP="001F4E4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741,580</w:t>
            </w:r>
          </w:p>
        </w:tc>
      </w:tr>
      <w:tr w:rsidR="001F4E4F" w:rsidRPr="007B1EE3" w14:paraId="0EADE9C0"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6580B5B0"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lang w:eastAsia="en-CA"/>
              </w:rPr>
              <w:t xml:space="preserve">Other farm revenue </w:t>
            </w:r>
          </w:p>
        </w:tc>
        <w:tc>
          <w:tcPr>
            <w:tcW w:w="1280" w:type="dxa"/>
            <w:gridSpan w:val="2"/>
            <w:vAlign w:val="bottom"/>
          </w:tcPr>
          <w:p w14:paraId="15C6FDC7"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1,667</w:t>
            </w:r>
          </w:p>
        </w:tc>
        <w:tc>
          <w:tcPr>
            <w:tcW w:w="1275" w:type="dxa"/>
            <w:vAlign w:val="bottom"/>
          </w:tcPr>
          <w:p w14:paraId="0E0270CC"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58,527</w:t>
            </w:r>
          </w:p>
        </w:tc>
      </w:tr>
      <w:tr w:rsidR="001F4E4F" w:rsidRPr="007B1EE3" w14:paraId="10A43BDC"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tcBorders>
              <w:bottom w:val="single" w:sz="4" w:space="0" w:color="8EAADB" w:themeColor="accent1" w:themeTint="99"/>
            </w:tcBorders>
            <w:hideMark/>
          </w:tcPr>
          <w:p w14:paraId="40ED2199"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Government payments</w:t>
            </w:r>
          </w:p>
        </w:tc>
        <w:tc>
          <w:tcPr>
            <w:tcW w:w="1280" w:type="dxa"/>
            <w:gridSpan w:val="2"/>
            <w:tcBorders>
              <w:bottom w:val="single" w:sz="4" w:space="0" w:color="8EAADB" w:themeColor="accent1" w:themeTint="99"/>
            </w:tcBorders>
            <w:vAlign w:val="bottom"/>
          </w:tcPr>
          <w:p w14:paraId="642EC2EC" w14:textId="77777777" w:rsidR="001F4E4F" w:rsidRPr="007B1EE3" w:rsidRDefault="001F4E4F"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0</w:t>
            </w:r>
          </w:p>
        </w:tc>
        <w:tc>
          <w:tcPr>
            <w:tcW w:w="1275" w:type="dxa"/>
            <w:tcBorders>
              <w:bottom w:val="single" w:sz="4" w:space="0" w:color="8EAADB" w:themeColor="accent1" w:themeTint="99"/>
            </w:tcBorders>
            <w:vAlign w:val="bottom"/>
          </w:tcPr>
          <w:p w14:paraId="70F8B77D" w14:textId="77777777" w:rsidR="001F4E4F" w:rsidRPr="007B1EE3" w:rsidRDefault="001F4E4F"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21,334</w:t>
            </w:r>
          </w:p>
        </w:tc>
      </w:tr>
      <w:tr w:rsidR="001F4E4F" w:rsidRPr="007B1EE3" w14:paraId="75C543E7"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2397" w:type="dxa"/>
            <w:tcBorders>
              <w:bottom w:val="single" w:sz="4" w:space="0" w:color="auto"/>
            </w:tcBorders>
            <w:hideMark/>
          </w:tcPr>
          <w:p w14:paraId="07992DBC" w14:textId="77777777" w:rsidR="001F4E4F" w:rsidRPr="007B1EE3" w:rsidRDefault="001F4E4F" w:rsidP="001F4E4F">
            <w:pPr>
              <w:rPr>
                <w:rFonts w:ascii="Calibri" w:eastAsia="Times New Roman" w:hAnsi="Calibri" w:cs="Calibri"/>
                <w:b w:val="0"/>
                <w:bCs w:val="0"/>
                <w:color w:val="000000"/>
                <w:lang w:eastAsia="en-CA"/>
              </w:rPr>
            </w:pPr>
            <w:r w:rsidRPr="007B1EE3">
              <w:rPr>
                <w:rFonts w:ascii="Calibri" w:eastAsia="Times New Roman" w:hAnsi="Calibri" w:cs="Calibri"/>
                <w:lang w:eastAsia="en-CA"/>
              </w:rPr>
              <w:t>Total farm revenue</w:t>
            </w:r>
          </w:p>
        </w:tc>
        <w:tc>
          <w:tcPr>
            <w:tcW w:w="1280" w:type="dxa"/>
            <w:gridSpan w:val="2"/>
            <w:tcBorders>
              <w:bottom w:val="single" w:sz="4" w:space="0" w:color="auto"/>
            </w:tcBorders>
            <w:vAlign w:val="bottom"/>
          </w:tcPr>
          <w:p w14:paraId="1A7C2B5D" w14:textId="621D728F" w:rsidR="001F4E4F" w:rsidRPr="00D115BE" w:rsidRDefault="005B670B"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5B670B">
              <w:rPr>
                <w:rFonts w:ascii="Calibri" w:hAnsi="Calibri" w:cs="Calibri"/>
                <w:color w:val="000000"/>
              </w:rPr>
              <w:t>158,034</w:t>
            </w:r>
          </w:p>
        </w:tc>
        <w:tc>
          <w:tcPr>
            <w:tcW w:w="1275" w:type="dxa"/>
            <w:tcBorders>
              <w:bottom w:val="single" w:sz="4" w:space="0" w:color="auto"/>
            </w:tcBorders>
            <w:vAlign w:val="bottom"/>
          </w:tcPr>
          <w:p w14:paraId="28984CC1" w14:textId="77777777" w:rsidR="001F4E4F" w:rsidRPr="00D115BE"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Pr>
                <w:rFonts w:ascii="Calibri" w:hAnsi="Calibri" w:cs="Calibri"/>
                <w:color w:val="000000"/>
              </w:rPr>
              <w:t>986,976</w:t>
            </w:r>
          </w:p>
        </w:tc>
      </w:tr>
      <w:tr w:rsidR="001F4E4F" w:rsidRPr="007B1EE3" w14:paraId="23DFBB5F"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gridSpan w:val="4"/>
            <w:tcBorders>
              <w:top w:val="single" w:sz="4" w:space="0" w:color="auto"/>
            </w:tcBorders>
            <w:hideMark/>
          </w:tcPr>
          <w:p w14:paraId="2BCAF32C" w14:textId="77777777" w:rsidR="001F4E4F" w:rsidRPr="007B1EE3" w:rsidRDefault="001F4E4F" w:rsidP="001F4E4F">
            <w:pPr>
              <w:rPr>
                <w:rFonts w:ascii="Calibri" w:eastAsia="Times New Roman" w:hAnsi="Calibri" w:cs="Calibri"/>
                <w:b w:val="0"/>
                <w:bCs w:val="0"/>
                <w:color w:val="000000"/>
                <w:lang w:eastAsia="en-CA"/>
              </w:rPr>
            </w:pPr>
            <w:r w:rsidRPr="007B1EE3">
              <w:rPr>
                <w:rFonts w:ascii="Calibri" w:eastAsia="Times New Roman" w:hAnsi="Calibri" w:cs="Calibri"/>
                <w:color w:val="000000"/>
                <w:lang w:eastAsia="en-CA"/>
              </w:rPr>
              <w:t>Expenses</w:t>
            </w:r>
          </w:p>
        </w:tc>
      </w:tr>
      <w:tr w:rsidR="001F4E4F" w:rsidRPr="007B1EE3" w14:paraId="1A93B282"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592403ED"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lang w:eastAsia="en-CA"/>
              </w:rPr>
              <w:t>Depreciation</w:t>
            </w:r>
          </w:p>
        </w:tc>
        <w:tc>
          <w:tcPr>
            <w:tcW w:w="1280" w:type="dxa"/>
            <w:gridSpan w:val="2"/>
            <w:vAlign w:val="bottom"/>
          </w:tcPr>
          <w:p w14:paraId="55B781D3"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24,104</w:t>
            </w:r>
          </w:p>
        </w:tc>
        <w:tc>
          <w:tcPr>
            <w:tcW w:w="1275" w:type="dxa"/>
            <w:vAlign w:val="bottom"/>
          </w:tcPr>
          <w:p w14:paraId="7BFC569D"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45,737</w:t>
            </w:r>
          </w:p>
        </w:tc>
      </w:tr>
      <w:tr w:rsidR="001F4E4F" w:rsidRPr="007B1EE3" w14:paraId="4FADDE87"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2F33E73D"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Fixed costs</w:t>
            </w:r>
          </w:p>
        </w:tc>
        <w:tc>
          <w:tcPr>
            <w:tcW w:w="1280" w:type="dxa"/>
            <w:gridSpan w:val="2"/>
            <w:vAlign w:val="bottom"/>
          </w:tcPr>
          <w:p w14:paraId="753AE9F8" w14:textId="77777777" w:rsidR="001F4E4F" w:rsidRPr="007B1EE3" w:rsidRDefault="001F4E4F"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44,843</w:t>
            </w:r>
          </w:p>
        </w:tc>
        <w:tc>
          <w:tcPr>
            <w:tcW w:w="1275" w:type="dxa"/>
            <w:vAlign w:val="bottom"/>
          </w:tcPr>
          <w:p w14:paraId="702ED4FD" w14:textId="77777777" w:rsidR="001F4E4F" w:rsidRPr="007B1EE3" w:rsidRDefault="001F4E4F"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0</w:t>
            </w:r>
          </w:p>
        </w:tc>
      </w:tr>
      <w:tr w:rsidR="001F4E4F" w:rsidRPr="007B1EE3" w14:paraId="52DEB2E6"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5C3EBB2E"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lang w:eastAsia="en-CA"/>
              </w:rPr>
              <w:t>Wages, rent, interest</w:t>
            </w:r>
          </w:p>
        </w:tc>
        <w:tc>
          <w:tcPr>
            <w:tcW w:w="1280" w:type="dxa"/>
            <w:gridSpan w:val="2"/>
            <w:vAlign w:val="bottom"/>
          </w:tcPr>
          <w:p w14:paraId="6D9FC141" w14:textId="5212C10C" w:rsidR="001F4E4F" w:rsidRPr="007B1EE3" w:rsidRDefault="005B670B"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5B670B">
              <w:rPr>
                <w:rFonts w:ascii="Calibri" w:hAnsi="Calibri" w:cs="Calibri"/>
                <w:color w:val="000000"/>
              </w:rPr>
              <w:t>63,883</w:t>
            </w:r>
          </w:p>
        </w:tc>
        <w:tc>
          <w:tcPr>
            <w:tcW w:w="1275" w:type="dxa"/>
            <w:vAlign w:val="bottom"/>
          </w:tcPr>
          <w:p w14:paraId="24C5C9E2"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127,206</w:t>
            </w:r>
          </w:p>
        </w:tc>
      </w:tr>
      <w:tr w:rsidR="001F4E4F" w:rsidRPr="007B1EE3" w14:paraId="1CA0CB02"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44820C8D"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Cow-calf</w:t>
            </w:r>
          </w:p>
        </w:tc>
        <w:tc>
          <w:tcPr>
            <w:tcW w:w="1280" w:type="dxa"/>
            <w:gridSpan w:val="2"/>
            <w:vAlign w:val="bottom"/>
          </w:tcPr>
          <w:p w14:paraId="4C2865BF" w14:textId="1773DA78" w:rsidR="001F4E4F" w:rsidRPr="007B1EE3" w:rsidRDefault="001E66D7"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E66D7">
              <w:rPr>
                <w:rFonts w:ascii="Calibri" w:hAnsi="Calibri" w:cs="Calibri"/>
                <w:color w:val="000000"/>
              </w:rPr>
              <w:t>33,276</w:t>
            </w:r>
          </w:p>
        </w:tc>
        <w:tc>
          <w:tcPr>
            <w:tcW w:w="1275" w:type="dxa"/>
            <w:vAlign w:val="bottom"/>
          </w:tcPr>
          <w:p w14:paraId="44D43923" w14:textId="77777777" w:rsidR="001F4E4F" w:rsidRPr="007B1EE3" w:rsidRDefault="001F4E4F"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67,772</w:t>
            </w:r>
          </w:p>
        </w:tc>
      </w:tr>
      <w:tr w:rsidR="001F4E4F" w:rsidRPr="007B1EE3" w14:paraId="19B3A716"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2397" w:type="dxa"/>
            <w:tcBorders>
              <w:bottom w:val="single" w:sz="4" w:space="0" w:color="8EAADB" w:themeColor="accent1" w:themeTint="99"/>
            </w:tcBorders>
            <w:hideMark/>
          </w:tcPr>
          <w:p w14:paraId="5F98D6A7" w14:textId="77777777" w:rsidR="001F4E4F" w:rsidRPr="00BB5290" w:rsidRDefault="001F4E4F" w:rsidP="001F4E4F">
            <w:pPr>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Crop production</w:t>
            </w:r>
          </w:p>
        </w:tc>
        <w:tc>
          <w:tcPr>
            <w:tcW w:w="1280" w:type="dxa"/>
            <w:gridSpan w:val="2"/>
            <w:tcBorders>
              <w:bottom w:val="single" w:sz="4" w:space="0" w:color="8EAADB" w:themeColor="accent1" w:themeTint="99"/>
            </w:tcBorders>
            <w:vAlign w:val="bottom"/>
          </w:tcPr>
          <w:p w14:paraId="056FB716"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19,102</w:t>
            </w:r>
          </w:p>
        </w:tc>
        <w:tc>
          <w:tcPr>
            <w:tcW w:w="1275" w:type="dxa"/>
            <w:tcBorders>
              <w:bottom w:val="single" w:sz="4" w:space="0" w:color="8EAADB" w:themeColor="accent1" w:themeTint="99"/>
            </w:tcBorders>
            <w:vAlign w:val="bottom"/>
          </w:tcPr>
          <w:p w14:paraId="29CF887B" w14:textId="77777777" w:rsidR="001F4E4F" w:rsidRPr="007B1EE3" w:rsidRDefault="001F4E4F" w:rsidP="001F4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299,463</w:t>
            </w:r>
          </w:p>
        </w:tc>
      </w:tr>
      <w:tr w:rsidR="001F4E4F" w:rsidRPr="007B1EE3" w14:paraId="08A3559B" w14:textId="77777777" w:rsidTr="001F4E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7" w:type="dxa"/>
            <w:tcBorders>
              <w:bottom w:val="single" w:sz="4" w:space="0" w:color="auto"/>
            </w:tcBorders>
            <w:hideMark/>
          </w:tcPr>
          <w:p w14:paraId="1C1DA6A6" w14:textId="77777777" w:rsidR="001F4E4F" w:rsidRPr="00BB5290" w:rsidRDefault="001F4E4F" w:rsidP="001F4E4F">
            <w:pPr>
              <w:rPr>
                <w:rFonts w:ascii="Calibri" w:eastAsia="Times New Roman" w:hAnsi="Calibri" w:cs="Calibri"/>
                <w:b w:val="0"/>
                <w:bCs w:val="0"/>
                <w:color w:val="000000"/>
                <w:lang w:eastAsia="en-CA"/>
              </w:rPr>
            </w:pPr>
            <w:r w:rsidRPr="007B1EE3">
              <w:rPr>
                <w:rFonts w:ascii="Calibri" w:eastAsia="Times New Roman" w:hAnsi="Calibri" w:cs="Calibri"/>
                <w:lang w:eastAsia="en-CA"/>
              </w:rPr>
              <w:t>Total farm costs</w:t>
            </w:r>
          </w:p>
        </w:tc>
        <w:tc>
          <w:tcPr>
            <w:tcW w:w="1280" w:type="dxa"/>
            <w:gridSpan w:val="2"/>
            <w:tcBorders>
              <w:bottom w:val="single" w:sz="4" w:space="0" w:color="auto"/>
            </w:tcBorders>
            <w:vAlign w:val="bottom"/>
          </w:tcPr>
          <w:p w14:paraId="388EF5DD" w14:textId="1840FDF1" w:rsidR="001F4E4F" w:rsidRPr="007B1EE3" w:rsidRDefault="001E66D7"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E66D7">
              <w:rPr>
                <w:rFonts w:ascii="Calibri" w:hAnsi="Calibri" w:cs="Calibri"/>
                <w:color w:val="000000"/>
              </w:rPr>
              <w:t>185,209</w:t>
            </w:r>
          </w:p>
        </w:tc>
        <w:tc>
          <w:tcPr>
            <w:tcW w:w="1275" w:type="dxa"/>
            <w:tcBorders>
              <w:bottom w:val="single" w:sz="4" w:space="0" w:color="auto"/>
            </w:tcBorders>
            <w:vAlign w:val="bottom"/>
          </w:tcPr>
          <w:p w14:paraId="5F7AE4AB" w14:textId="77777777" w:rsidR="001F4E4F" w:rsidRPr="007B1EE3" w:rsidRDefault="001F4E4F" w:rsidP="001F4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hAnsi="Calibri" w:cs="Calibri"/>
                <w:color w:val="000000"/>
              </w:rPr>
              <w:t>540,177</w:t>
            </w:r>
          </w:p>
        </w:tc>
      </w:tr>
      <w:tr w:rsidR="001F4E4F" w:rsidRPr="007B1EE3" w14:paraId="173391DF" w14:textId="77777777" w:rsidTr="001F4E4F">
        <w:trPr>
          <w:trHeight w:val="20"/>
        </w:trPr>
        <w:tc>
          <w:tcPr>
            <w:cnfStyle w:val="001000000000" w:firstRow="0" w:lastRow="0" w:firstColumn="1" w:lastColumn="0" w:oddVBand="0" w:evenVBand="0" w:oddHBand="0" w:evenHBand="0" w:firstRowFirstColumn="0" w:firstRowLastColumn="0" w:lastRowFirstColumn="0" w:lastRowLastColumn="0"/>
            <w:tcW w:w="4952" w:type="dxa"/>
            <w:gridSpan w:val="4"/>
            <w:tcBorders>
              <w:top w:val="single" w:sz="4" w:space="0" w:color="auto"/>
            </w:tcBorders>
            <w:hideMark/>
          </w:tcPr>
          <w:p w14:paraId="7D17DAD8" w14:textId="77777777" w:rsidR="001F4E4F" w:rsidRPr="00BB5290" w:rsidRDefault="001F4E4F" w:rsidP="001F4E4F">
            <w:pPr>
              <w:rPr>
                <w:rFonts w:ascii="Calibri" w:eastAsia="Times New Roman" w:hAnsi="Calibri" w:cs="Calibri"/>
                <w:b w:val="0"/>
                <w:bCs w:val="0"/>
                <w:color w:val="000000"/>
                <w:lang w:eastAsia="en-CA"/>
              </w:rPr>
            </w:pPr>
            <w:r w:rsidRPr="007B1EE3">
              <w:rPr>
                <w:rFonts w:ascii="Calibri" w:eastAsia="Times New Roman" w:hAnsi="Calibri" w:cs="Calibri"/>
                <w:color w:val="000000"/>
                <w:lang w:eastAsia="en-CA"/>
              </w:rPr>
              <w:t>Profits</w:t>
            </w:r>
          </w:p>
        </w:tc>
      </w:tr>
      <w:tr w:rsidR="001E66D7" w:rsidRPr="007B1EE3" w14:paraId="497C653A" w14:textId="77777777" w:rsidTr="008876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gridSpan w:val="2"/>
            <w:hideMark/>
          </w:tcPr>
          <w:p w14:paraId="306FE62A" w14:textId="77777777" w:rsidR="001E66D7" w:rsidRPr="007B1EE3" w:rsidRDefault="001E66D7" w:rsidP="001E66D7">
            <w:pPr>
              <w:rPr>
                <w:rFonts w:ascii="Calibri" w:eastAsia="Times New Roman" w:hAnsi="Calibri" w:cs="Calibri"/>
                <w:color w:val="000000"/>
                <w:lang w:eastAsia="en-CA"/>
              </w:rPr>
            </w:pPr>
            <w:r w:rsidRPr="00BB5290">
              <w:rPr>
                <w:rFonts w:ascii="Calibri" w:eastAsia="Times New Roman" w:hAnsi="Calibri" w:cs="Calibri"/>
                <w:b w:val="0"/>
                <w:bCs w:val="0"/>
                <w:lang w:eastAsia="en-CA"/>
              </w:rPr>
              <w:t>Net income</w:t>
            </w:r>
          </w:p>
        </w:tc>
        <w:tc>
          <w:tcPr>
            <w:tcW w:w="1272" w:type="dxa"/>
          </w:tcPr>
          <w:p w14:paraId="4FDD9E0B" w14:textId="3047255C" w:rsidR="001E66D7" w:rsidRPr="001E66D7" w:rsidRDefault="001E66D7" w:rsidP="001E6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en-CA"/>
              </w:rPr>
            </w:pPr>
            <w:r w:rsidRPr="001E66D7">
              <w:rPr>
                <w:color w:val="FF0000"/>
              </w:rPr>
              <w:t>-27,175</w:t>
            </w:r>
          </w:p>
        </w:tc>
        <w:tc>
          <w:tcPr>
            <w:tcW w:w="1275" w:type="dxa"/>
            <w:vAlign w:val="bottom"/>
          </w:tcPr>
          <w:p w14:paraId="0404DC19" w14:textId="77777777" w:rsidR="001E66D7" w:rsidRPr="007B1EE3" w:rsidRDefault="001E66D7" w:rsidP="001E6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Pr>
                <w:rFonts w:ascii="Calibri" w:hAnsi="Calibri" w:cs="Calibri"/>
                <w:color w:val="000000"/>
              </w:rPr>
              <w:t>446,799</w:t>
            </w:r>
          </w:p>
        </w:tc>
      </w:tr>
      <w:tr w:rsidR="001E66D7" w:rsidRPr="007B1EE3" w14:paraId="7833EA48" w14:textId="77777777" w:rsidTr="0088761A">
        <w:trPr>
          <w:trHeight w:val="20"/>
        </w:trPr>
        <w:tc>
          <w:tcPr>
            <w:cnfStyle w:val="001000000000" w:firstRow="0" w:lastRow="0" w:firstColumn="1" w:lastColumn="0" w:oddVBand="0" w:evenVBand="0" w:oddHBand="0" w:evenHBand="0" w:firstRowFirstColumn="0" w:firstRowLastColumn="0" w:lastRowFirstColumn="0" w:lastRowLastColumn="0"/>
            <w:tcW w:w="2397" w:type="dxa"/>
            <w:hideMark/>
          </w:tcPr>
          <w:p w14:paraId="44443A1C" w14:textId="77777777" w:rsidR="001E66D7" w:rsidRPr="00BB5290" w:rsidRDefault="001E66D7" w:rsidP="001E66D7">
            <w:pPr>
              <w:rPr>
                <w:rFonts w:ascii="Calibri" w:eastAsia="Times New Roman" w:hAnsi="Calibri" w:cs="Calibri"/>
                <w:b w:val="0"/>
                <w:bCs w:val="0"/>
                <w:color w:val="000000"/>
                <w:lang w:eastAsia="en-CA"/>
              </w:rPr>
            </w:pPr>
            <w:r w:rsidRPr="00BB5290">
              <w:rPr>
                <w:rFonts w:ascii="Calibri" w:eastAsia="Times New Roman" w:hAnsi="Calibri" w:cs="Calibri"/>
                <w:b w:val="0"/>
                <w:bCs w:val="0"/>
                <w:color w:val="000000"/>
                <w:lang w:eastAsia="en-CA"/>
              </w:rPr>
              <w:t>Net cash farm income</w:t>
            </w:r>
          </w:p>
        </w:tc>
        <w:tc>
          <w:tcPr>
            <w:tcW w:w="1280" w:type="dxa"/>
            <w:gridSpan w:val="2"/>
          </w:tcPr>
          <w:p w14:paraId="08762E6D" w14:textId="6F6B53CC" w:rsidR="001E66D7" w:rsidRPr="001E66D7" w:rsidRDefault="001E66D7" w:rsidP="001E66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en-CA"/>
              </w:rPr>
            </w:pPr>
            <w:r w:rsidRPr="001E66D7">
              <w:rPr>
                <w:color w:val="FF0000"/>
              </w:rPr>
              <w:t>-3,070</w:t>
            </w:r>
          </w:p>
        </w:tc>
        <w:tc>
          <w:tcPr>
            <w:tcW w:w="1275" w:type="dxa"/>
            <w:vAlign w:val="bottom"/>
          </w:tcPr>
          <w:p w14:paraId="38DFAE71" w14:textId="77777777" w:rsidR="001E66D7" w:rsidRPr="007B1EE3" w:rsidRDefault="001E66D7" w:rsidP="001E66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en-CA"/>
              </w:rPr>
            </w:pPr>
            <w:r>
              <w:rPr>
                <w:rFonts w:ascii="Calibri" w:hAnsi="Calibri" w:cs="Calibri"/>
                <w:color w:val="000000"/>
              </w:rPr>
              <w:t>491,541</w:t>
            </w:r>
          </w:p>
        </w:tc>
      </w:tr>
    </w:tbl>
    <w:p w14:paraId="01338756" w14:textId="77777777" w:rsidR="001F4E4F" w:rsidRDefault="001F4E4F" w:rsidP="001F4E4F">
      <w:pPr>
        <w:pStyle w:val="Heading2"/>
        <w:spacing w:before="120" w:line="360" w:lineRule="auto"/>
        <w:rPr>
          <w:rFonts w:asciiTheme="minorHAnsi" w:hAnsiTheme="minorHAnsi" w:cstheme="minorHAnsi"/>
          <w:lang w:eastAsia="en-CA"/>
        </w:rPr>
      </w:pPr>
      <w:r>
        <w:rPr>
          <w:rFonts w:asciiTheme="minorHAnsi" w:hAnsiTheme="minorHAnsi" w:cstheme="minorHAnsi"/>
          <w:lang w:eastAsia="en-CA"/>
        </w:rPr>
        <w:t>Other Farm Enterprises</w:t>
      </w:r>
    </w:p>
    <w:p w14:paraId="30DB9E59" w14:textId="7698AC61" w:rsidR="001F4E4F" w:rsidRPr="00B51209" w:rsidRDefault="001F4E4F" w:rsidP="001F4E4F">
      <w:pPr>
        <w:rPr>
          <w:lang w:eastAsia="en-CA"/>
        </w:rPr>
      </w:pPr>
      <w:r>
        <w:rPr>
          <w:lang w:eastAsia="en-CA"/>
        </w:rPr>
        <w:t xml:space="preserve">In addition to the cow-calf enterprise, both </w:t>
      </w:r>
      <w:r w:rsidR="00DF75AC" w:rsidRPr="00DF75AC">
        <w:rPr>
          <w:b/>
          <w:lang w:eastAsia="en-CA"/>
        </w:rPr>
        <w:t>SK-5</w:t>
      </w:r>
      <w:r>
        <w:rPr>
          <w:lang w:eastAsia="en-CA"/>
        </w:rPr>
        <w:t xml:space="preserve"> and </w:t>
      </w:r>
      <w:r w:rsidR="00DF75AC" w:rsidRPr="00DF75AC">
        <w:rPr>
          <w:b/>
          <w:lang w:eastAsia="en-CA"/>
        </w:rPr>
        <w:t>US-160-0</w:t>
      </w:r>
      <w:r>
        <w:rPr>
          <w:lang w:eastAsia="en-CA"/>
        </w:rPr>
        <w:t xml:space="preserve"> generate additional farm revenue from a cash crop enterprise, as well as other farm activities. </w:t>
      </w:r>
      <w:r w:rsidR="00DF75AC" w:rsidRPr="00DF75AC">
        <w:rPr>
          <w:b/>
          <w:lang w:eastAsia="en-CA"/>
        </w:rPr>
        <w:t>US-160-0</w:t>
      </w:r>
      <w:r>
        <w:rPr>
          <w:lang w:eastAsia="en-CA"/>
        </w:rPr>
        <w:t xml:space="preserve"> also receives government payments.</w:t>
      </w:r>
    </w:p>
    <w:p w14:paraId="74568755" w14:textId="79D65357" w:rsidR="001F4E4F" w:rsidRDefault="001F4E4F" w:rsidP="001F4E4F">
      <w:pPr>
        <w:pStyle w:val="Heading2"/>
        <w:spacing w:before="120" w:line="360" w:lineRule="auto"/>
        <w:rPr>
          <w:rFonts w:asciiTheme="minorHAnsi" w:hAnsiTheme="minorHAnsi" w:cstheme="minorHAnsi"/>
          <w:lang w:eastAsia="en-CA"/>
        </w:rPr>
      </w:pPr>
      <w:r>
        <w:rPr>
          <w:rFonts w:asciiTheme="minorHAnsi" w:hAnsiTheme="minorHAnsi" w:cstheme="minorHAnsi"/>
          <w:lang w:eastAsia="en-CA"/>
        </w:rPr>
        <w:t>Cost and Profit</w:t>
      </w:r>
    </w:p>
    <w:p w14:paraId="3692CCC4" w14:textId="7FAD63A7" w:rsidR="001F4E4F" w:rsidRDefault="001F4E4F" w:rsidP="001F4E4F">
      <w:pPr>
        <w:rPr>
          <w:lang w:eastAsia="en-CA"/>
        </w:rPr>
      </w:pPr>
      <w:r>
        <w:rPr>
          <w:b/>
          <w:bCs/>
          <w:lang w:eastAsia="en-CA"/>
        </w:rPr>
        <w:t>Total farm revenue</w:t>
      </w:r>
      <w:r>
        <w:rPr>
          <w:lang w:eastAsia="en-CA"/>
        </w:rPr>
        <w:t xml:space="preserve"> on </w:t>
      </w:r>
      <w:r w:rsidR="00DF75AC" w:rsidRPr="00DF75AC">
        <w:rPr>
          <w:b/>
          <w:lang w:eastAsia="en-CA"/>
        </w:rPr>
        <w:t>SK-5</w:t>
      </w:r>
      <w:r>
        <w:rPr>
          <w:lang w:eastAsia="en-CA"/>
        </w:rPr>
        <w:t xml:space="preserve"> averaged $158,107 over the 5-year period. Market revenue from the cow-calf enterprise accounted for 93% of whole-farm revenue, followed by the cash crop enterprise (6%), and other farm activities (1%). Total farm revenue on </w:t>
      </w:r>
      <w:r w:rsidR="00DF75AC" w:rsidRPr="00DF75AC">
        <w:rPr>
          <w:b/>
          <w:lang w:eastAsia="en-CA"/>
        </w:rPr>
        <w:t>US-160-0</w:t>
      </w:r>
      <w:r>
        <w:rPr>
          <w:lang w:eastAsia="en-CA"/>
        </w:rPr>
        <w:t xml:space="preserve"> averaged $986,976 over the 5-year period, over 6 times the total revenue on </w:t>
      </w:r>
      <w:r w:rsidR="00DF75AC" w:rsidRPr="00DF75AC">
        <w:rPr>
          <w:b/>
          <w:lang w:eastAsia="en-CA"/>
        </w:rPr>
        <w:t>SK-5</w:t>
      </w:r>
      <w:r>
        <w:rPr>
          <w:lang w:eastAsia="en-CA"/>
        </w:rPr>
        <w:t xml:space="preserve">. On </w:t>
      </w:r>
      <w:r w:rsidR="00DF75AC" w:rsidRPr="00DF75AC">
        <w:rPr>
          <w:b/>
          <w:lang w:eastAsia="en-CA"/>
        </w:rPr>
        <w:t>US-160-0</w:t>
      </w:r>
      <w:r>
        <w:rPr>
          <w:lang w:eastAsia="en-CA"/>
        </w:rPr>
        <w:t xml:space="preserve">, </w:t>
      </w:r>
      <w:proofErr w:type="gramStart"/>
      <w:r>
        <w:rPr>
          <w:lang w:eastAsia="en-CA"/>
        </w:rPr>
        <w:t>the majority of</w:t>
      </w:r>
      <w:proofErr w:type="gramEnd"/>
      <w:r>
        <w:rPr>
          <w:lang w:eastAsia="en-CA"/>
        </w:rPr>
        <w:t xml:space="preserve"> farm revenue (75%) is market revenue from the cash crop enterprise. Only 17% of revenue is market revenue from the cow-calf enterprise. </w:t>
      </w:r>
    </w:p>
    <w:p w14:paraId="38C64742" w14:textId="43713D1F" w:rsidR="001F4E4F" w:rsidRDefault="001F4E4F" w:rsidP="001F4E4F">
      <w:pPr>
        <w:rPr>
          <w:lang w:eastAsia="en-CA"/>
        </w:rPr>
      </w:pPr>
      <w:r>
        <w:rPr>
          <w:b/>
          <w:bCs/>
          <w:lang w:eastAsia="en-CA"/>
        </w:rPr>
        <w:t>Total farm expenses</w:t>
      </w:r>
      <w:r>
        <w:rPr>
          <w:lang w:eastAsia="en-CA"/>
        </w:rPr>
        <w:t xml:space="preserve"> on </w:t>
      </w:r>
      <w:r w:rsidR="00DF75AC" w:rsidRPr="00DF75AC">
        <w:rPr>
          <w:b/>
          <w:lang w:eastAsia="en-CA"/>
        </w:rPr>
        <w:t>SK-5</w:t>
      </w:r>
      <w:r>
        <w:rPr>
          <w:lang w:eastAsia="en-CA"/>
        </w:rPr>
        <w:t xml:space="preserve"> averaged $185,</w:t>
      </w:r>
      <w:r w:rsidR="00E43DFE">
        <w:rPr>
          <w:lang w:eastAsia="en-CA"/>
        </w:rPr>
        <w:t>209</w:t>
      </w:r>
      <w:r>
        <w:rPr>
          <w:lang w:eastAsia="en-CA"/>
        </w:rPr>
        <w:t xml:space="preserve"> over the 5-year period. Wages, rent, and interest were the largest expenses incurred on this farm (34% of total expenses), followed by fixed costs (24%), and the cow-calf enterprise (18%). On </w:t>
      </w:r>
      <w:r w:rsidR="00DF75AC" w:rsidRPr="00DF75AC">
        <w:rPr>
          <w:b/>
          <w:lang w:eastAsia="en-CA"/>
        </w:rPr>
        <w:t>US-160-0</w:t>
      </w:r>
      <w:r>
        <w:rPr>
          <w:lang w:eastAsia="en-CA"/>
        </w:rPr>
        <w:t xml:space="preserve">, total farm expenses averaged $540,177. </w:t>
      </w:r>
      <w:proofErr w:type="gramStart"/>
      <w:r>
        <w:rPr>
          <w:lang w:eastAsia="en-CA"/>
        </w:rPr>
        <w:t>Similar to</w:t>
      </w:r>
      <w:proofErr w:type="gramEnd"/>
      <w:r>
        <w:rPr>
          <w:lang w:eastAsia="en-CA"/>
        </w:rPr>
        <w:t xml:space="preserve"> total costs, the cash crop enterprise is the largest source of expenses on this farm (55%). This is followed by wages, rent, and interest (24%), and the cow-calf enterprise (13%).</w:t>
      </w:r>
    </w:p>
    <w:p w14:paraId="31CAA5D9" w14:textId="77777777" w:rsidR="001F4E4F" w:rsidRPr="00213DEB" w:rsidRDefault="001F4E4F" w:rsidP="001F4E4F">
      <w:pPr>
        <w:rPr>
          <w:lang w:eastAsia="en-CA"/>
        </w:rPr>
      </w:pPr>
    </w:p>
    <w:p w14:paraId="3DEF55A1" w14:textId="574BABED" w:rsidR="001F4E4F" w:rsidRPr="00053D03" w:rsidRDefault="001F4E4F" w:rsidP="001F4E4F">
      <w:pPr>
        <w:rPr>
          <w:lang w:eastAsia="en-CA"/>
        </w:rPr>
      </w:pPr>
      <w:r>
        <w:rPr>
          <w:lang w:eastAsia="en-CA"/>
        </w:rPr>
        <w:lastRenderedPageBreak/>
        <w:t xml:space="preserve">The cow-calf enterprise on </w:t>
      </w:r>
      <w:r w:rsidR="00DF75AC" w:rsidRPr="00DF75AC">
        <w:rPr>
          <w:b/>
          <w:lang w:eastAsia="en-CA"/>
        </w:rPr>
        <w:t>SK-5</w:t>
      </w:r>
      <w:r>
        <w:rPr>
          <w:lang w:eastAsia="en-CA"/>
        </w:rPr>
        <w:t xml:space="preserve"> was not profitable in the short-, medium-, or long-terms. Despite the additional farm revenue from the cash crop enterprise and other farm activities, </w:t>
      </w:r>
      <w:r w:rsidR="00DF75AC" w:rsidRPr="00DF75AC">
        <w:rPr>
          <w:b/>
          <w:lang w:eastAsia="en-CA"/>
        </w:rPr>
        <w:t>SK-5</w:t>
      </w:r>
      <w:r>
        <w:rPr>
          <w:lang w:eastAsia="en-CA"/>
        </w:rPr>
        <w:t xml:space="preserve"> remains unprofitable at the whole-farm level. </w:t>
      </w:r>
      <w:r>
        <w:rPr>
          <w:rFonts w:cstheme="minorHAnsi"/>
          <w:lang w:eastAsia="en-CA"/>
        </w:rPr>
        <w:t xml:space="preserve">Average </w:t>
      </w:r>
      <w:r>
        <w:rPr>
          <w:rFonts w:cstheme="minorHAnsi"/>
          <w:b/>
          <w:bCs/>
          <w:lang w:eastAsia="en-CA"/>
        </w:rPr>
        <w:t>n</w:t>
      </w:r>
      <w:r w:rsidRPr="004E2513">
        <w:rPr>
          <w:rFonts w:cstheme="minorHAnsi"/>
          <w:b/>
          <w:bCs/>
          <w:lang w:eastAsia="en-CA"/>
        </w:rPr>
        <w:t>et income</w:t>
      </w:r>
      <w:r>
        <w:rPr>
          <w:rFonts w:cstheme="minorHAnsi"/>
          <w:lang w:eastAsia="en-CA"/>
        </w:rPr>
        <w:t xml:space="preserve"> for </w:t>
      </w:r>
      <w:r>
        <w:rPr>
          <w:rFonts w:cstheme="minorHAnsi"/>
          <w:b/>
          <w:bCs/>
          <w:lang w:eastAsia="en-CA"/>
        </w:rPr>
        <w:t xml:space="preserve">SK-5 </w:t>
      </w:r>
      <w:r>
        <w:rPr>
          <w:rFonts w:cstheme="minorHAnsi"/>
          <w:lang w:eastAsia="en-CA"/>
        </w:rPr>
        <w:t>was -$27,</w:t>
      </w:r>
      <w:r w:rsidR="00E43DFE">
        <w:rPr>
          <w:rFonts w:cstheme="minorHAnsi"/>
          <w:lang w:eastAsia="en-CA"/>
        </w:rPr>
        <w:t>175</w:t>
      </w:r>
      <w:r>
        <w:rPr>
          <w:rFonts w:cstheme="minorHAnsi"/>
          <w:vertAlign w:val="superscript"/>
          <w:lang w:eastAsia="en-CA"/>
        </w:rPr>
        <w:t>a</w:t>
      </w:r>
      <w:r>
        <w:rPr>
          <w:rFonts w:cstheme="minorHAnsi"/>
          <w:lang w:eastAsia="en-CA"/>
        </w:rPr>
        <w:t xml:space="preserve"> over the 5-year period, and average </w:t>
      </w:r>
      <w:r w:rsidRPr="004E2513">
        <w:rPr>
          <w:rFonts w:cstheme="minorHAnsi"/>
          <w:b/>
          <w:bCs/>
          <w:lang w:eastAsia="en-CA"/>
        </w:rPr>
        <w:t>net cash farm income</w:t>
      </w:r>
      <w:r>
        <w:rPr>
          <w:rFonts w:cstheme="minorHAnsi"/>
          <w:lang w:eastAsia="en-CA"/>
        </w:rPr>
        <w:t xml:space="preserve"> was -$</w:t>
      </w:r>
      <w:r w:rsidR="00E43DFE">
        <w:rPr>
          <w:rFonts w:cstheme="minorHAnsi"/>
          <w:lang w:eastAsia="en-CA"/>
        </w:rPr>
        <w:t>3,070</w:t>
      </w:r>
      <w:r>
        <w:rPr>
          <w:rFonts w:cstheme="minorHAnsi"/>
          <w:lang w:eastAsia="en-CA"/>
        </w:rPr>
        <w:t>.</w:t>
      </w:r>
      <w:r>
        <w:rPr>
          <w:lang w:eastAsia="en-CA"/>
        </w:rPr>
        <w:t xml:space="preserve"> In contrast, the success of the cash crop enterprise, as well as additional revenue from other farm activities and government payments received by </w:t>
      </w:r>
      <w:r w:rsidR="00DF75AC" w:rsidRPr="00DF75AC">
        <w:rPr>
          <w:b/>
          <w:lang w:eastAsia="en-CA"/>
        </w:rPr>
        <w:t>US-160-0</w:t>
      </w:r>
      <w:r>
        <w:rPr>
          <w:lang w:eastAsia="en-CA"/>
        </w:rPr>
        <w:t>, allow this farm to achieve whole-farm level profitability. Over the 5-year period, net income averaged $446,799</w:t>
      </w:r>
      <w:r w:rsidRPr="00DD4855">
        <w:rPr>
          <w:vertAlign w:val="superscript"/>
          <w:lang w:eastAsia="en-CA"/>
        </w:rPr>
        <w:t>a</w:t>
      </w:r>
      <w:r>
        <w:rPr>
          <w:lang w:eastAsia="en-CA"/>
        </w:rPr>
        <w:t>, and net farm cash income averaged $491,541</w:t>
      </w:r>
      <w:r w:rsidRPr="00DD4855">
        <w:rPr>
          <w:vertAlign w:val="superscript"/>
          <w:lang w:eastAsia="en-CA"/>
        </w:rPr>
        <w:t>b</w:t>
      </w:r>
      <w:r>
        <w:rPr>
          <w:lang w:eastAsia="en-CA"/>
        </w:rPr>
        <w:t>.</w:t>
      </w:r>
    </w:p>
    <w:p w14:paraId="36AA484C" w14:textId="77777777" w:rsidR="005115E8" w:rsidRDefault="005115E8" w:rsidP="00BB5290">
      <w:pPr>
        <w:rPr>
          <w:lang w:eastAsia="en-CA"/>
        </w:rPr>
      </w:pPr>
    </w:p>
    <w:p w14:paraId="44B34CF0" w14:textId="1A2D8A60" w:rsidR="00B10470" w:rsidRDefault="00B10470" w:rsidP="00EB5C5C">
      <w:pPr>
        <w:pBdr>
          <w:bottom w:val="single" w:sz="4" w:space="1" w:color="auto"/>
        </w:pBdr>
        <w:rPr>
          <w:rFonts w:cstheme="minorHAnsi"/>
          <w:lang w:eastAsia="en-CA"/>
        </w:rPr>
      </w:pPr>
    </w:p>
    <w:p w14:paraId="60223474" w14:textId="718C5AD0" w:rsidR="00B4768C" w:rsidRDefault="00B4768C" w:rsidP="00EB5C5C">
      <w:pPr>
        <w:pBdr>
          <w:bottom w:val="single" w:sz="4" w:space="1" w:color="auto"/>
        </w:pBdr>
        <w:rPr>
          <w:rFonts w:cstheme="minorHAnsi"/>
          <w:lang w:eastAsia="en-CA"/>
        </w:rPr>
      </w:pPr>
    </w:p>
    <w:p w14:paraId="3084C6FD" w14:textId="70D2A143" w:rsidR="00B4768C" w:rsidRDefault="00B4768C" w:rsidP="00EB5C5C">
      <w:pPr>
        <w:pBdr>
          <w:bottom w:val="single" w:sz="4" w:space="1" w:color="auto"/>
        </w:pBdr>
        <w:rPr>
          <w:rFonts w:cstheme="minorHAnsi"/>
          <w:lang w:eastAsia="en-CA"/>
        </w:rPr>
      </w:pPr>
    </w:p>
    <w:p w14:paraId="5B8180DF" w14:textId="1239DCD5" w:rsidR="00B4768C" w:rsidRDefault="00B4768C" w:rsidP="00EB5C5C">
      <w:pPr>
        <w:pBdr>
          <w:bottom w:val="single" w:sz="4" w:space="1" w:color="auto"/>
        </w:pBdr>
        <w:rPr>
          <w:rFonts w:cstheme="minorHAnsi"/>
          <w:lang w:eastAsia="en-CA"/>
        </w:rPr>
      </w:pPr>
    </w:p>
    <w:p w14:paraId="50D9877B" w14:textId="442F6B0D" w:rsidR="00B4768C" w:rsidRDefault="00B4768C" w:rsidP="00EB5C5C">
      <w:pPr>
        <w:pBdr>
          <w:bottom w:val="single" w:sz="4" w:space="1" w:color="auto"/>
        </w:pBdr>
        <w:rPr>
          <w:rFonts w:cstheme="minorHAnsi"/>
          <w:lang w:eastAsia="en-CA"/>
        </w:rPr>
      </w:pPr>
    </w:p>
    <w:p w14:paraId="6A2AA4BE" w14:textId="00FEF0C2" w:rsidR="00B4768C" w:rsidRDefault="00B4768C" w:rsidP="00EB5C5C">
      <w:pPr>
        <w:pBdr>
          <w:bottom w:val="single" w:sz="4" w:space="1" w:color="auto"/>
        </w:pBdr>
        <w:rPr>
          <w:rFonts w:cstheme="minorHAnsi"/>
          <w:lang w:eastAsia="en-CA"/>
        </w:rPr>
      </w:pPr>
    </w:p>
    <w:p w14:paraId="4F66ECE3" w14:textId="3A9A92F6" w:rsidR="00B4768C" w:rsidRDefault="00B4768C" w:rsidP="00EB5C5C">
      <w:pPr>
        <w:pBdr>
          <w:bottom w:val="single" w:sz="4" w:space="1" w:color="auto"/>
        </w:pBdr>
        <w:rPr>
          <w:rFonts w:cstheme="minorHAnsi"/>
          <w:lang w:eastAsia="en-CA"/>
        </w:rPr>
      </w:pPr>
    </w:p>
    <w:p w14:paraId="5704CC25" w14:textId="439344A0" w:rsidR="00B4768C" w:rsidRDefault="00B4768C" w:rsidP="00EB5C5C">
      <w:pPr>
        <w:pBdr>
          <w:bottom w:val="single" w:sz="4" w:space="1" w:color="auto"/>
        </w:pBdr>
        <w:rPr>
          <w:rFonts w:cstheme="minorHAnsi"/>
          <w:lang w:eastAsia="en-CA"/>
        </w:rPr>
      </w:pPr>
    </w:p>
    <w:p w14:paraId="03BC8113" w14:textId="71B06C4C" w:rsidR="00DF75AC" w:rsidRDefault="00DF75AC" w:rsidP="00EB5C5C">
      <w:pPr>
        <w:pBdr>
          <w:bottom w:val="single" w:sz="4" w:space="1" w:color="auto"/>
        </w:pBdr>
        <w:rPr>
          <w:rFonts w:cstheme="minorHAnsi"/>
          <w:lang w:eastAsia="en-CA"/>
        </w:rPr>
      </w:pPr>
    </w:p>
    <w:p w14:paraId="18379ADF" w14:textId="283D08D9" w:rsidR="00DF75AC" w:rsidRDefault="00DF75AC" w:rsidP="00EB5C5C">
      <w:pPr>
        <w:pBdr>
          <w:bottom w:val="single" w:sz="4" w:space="1" w:color="auto"/>
        </w:pBdr>
        <w:rPr>
          <w:rFonts w:cstheme="minorHAnsi"/>
          <w:lang w:eastAsia="en-CA"/>
        </w:rPr>
      </w:pPr>
    </w:p>
    <w:p w14:paraId="48892A46" w14:textId="77777777" w:rsidR="00DF75AC" w:rsidRDefault="00DF75AC" w:rsidP="00EB5C5C">
      <w:pPr>
        <w:pBdr>
          <w:bottom w:val="single" w:sz="4" w:space="1" w:color="auto"/>
        </w:pBdr>
        <w:rPr>
          <w:rFonts w:cstheme="minorHAnsi"/>
          <w:lang w:eastAsia="en-CA"/>
        </w:rPr>
      </w:pPr>
    </w:p>
    <w:p w14:paraId="4F0F54B3" w14:textId="6CF5BD44" w:rsidR="00B10470" w:rsidRPr="00EB5C5C" w:rsidRDefault="00B10470" w:rsidP="00EB5C5C">
      <w:pPr>
        <w:pBdr>
          <w:bottom w:val="single" w:sz="4" w:space="1" w:color="auto"/>
        </w:pBdr>
        <w:rPr>
          <w:lang w:eastAsia="en-CA"/>
        </w:rPr>
      </w:pPr>
    </w:p>
    <w:p w14:paraId="1BEF75D6" w14:textId="77777777" w:rsidR="008D35C5" w:rsidRPr="00D8089C" w:rsidRDefault="008D35C5" w:rsidP="008D35C5">
      <w:pPr>
        <w:spacing w:line="22" w:lineRule="atLeast"/>
        <w:rPr>
          <w:rFonts w:cstheme="minorHAnsi"/>
          <w:sz w:val="16"/>
          <w:szCs w:val="16"/>
          <w:lang w:eastAsia="en-CA"/>
        </w:rPr>
      </w:pPr>
      <w:proofErr w:type="spellStart"/>
      <w:r w:rsidRPr="00D8089C">
        <w:rPr>
          <w:rFonts w:cstheme="minorHAnsi"/>
          <w:sz w:val="16"/>
          <w:szCs w:val="16"/>
          <w:vertAlign w:val="superscript"/>
          <w:lang w:eastAsia="en-CA"/>
        </w:rPr>
        <w:t>a</w:t>
      </w:r>
      <w:r w:rsidRPr="00D8089C">
        <w:rPr>
          <w:rFonts w:cstheme="minorHAnsi"/>
          <w:sz w:val="16"/>
          <w:szCs w:val="16"/>
          <w:lang w:eastAsia="en-CA"/>
        </w:rPr>
        <w:t>This</w:t>
      </w:r>
      <w:proofErr w:type="spellEnd"/>
      <w:r w:rsidRPr="00D8089C">
        <w:rPr>
          <w:rFonts w:cstheme="minorHAnsi"/>
          <w:sz w:val="16"/>
          <w:szCs w:val="16"/>
          <w:lang w:eastAsia="en-CA"/>
        </w:rPr>
        <w:t xml:space="preserve"> is whole farm profitability, calculated as Market returns (+ coupled payments) (+ decoupled payments) − whole-farm costs +/− changes in inventory +/− capital gains/losses. Whole-farm costs include Direct costs enterprises, overhead costs, paid labour, paid rents, paid interest, depreciation </w:t>
      </w:r>
    </w:p>
    <w:p w14:paraId="5F329175" w14:textId="6CDE1CEB" w:rsidR="00B927AD" w:rsidRDefault="008D35C5" w:rsidP="0016078A">
      <w:pPr>
        <w:spacing w:line="22" w:lineRule="atLeast"/>
        <w:rPr>
          <w:rFonts w:cstheme="minorHAnsi"/>
          <w:sz w:val="16"/>
          <w:szCs w:val="16"/>
          <w:lang w:eastAsia="en-CA"/>
        </w:rPr>
      </w:pPr>
      <w:proofErr w:type="spellStart"/>
      <w:r w:rsidRPr="00D8089C">
        <w:rPr>
          <w:rFonts w:cstheme="minorHAnsi"/>
          <w:sz w:val="16"/>
          <w:szCs w:val="16"/>
          <w:vertAlign w:val="superscript"/>
          <w:lang w:eastAsia="en-CA"/>
        </w:rPr>
        <w:t>b</w:t>
      </w:r>
      <w:r w:rsidRPr="00D8089C">
        <w:rPr>
          <w:rFonts w:cstheme="minorHAnsi"/>
          <w:sz w:val="16"/>
          <w:szCs w:val="16"/>
          <w:lang w:eastAsia="en-CA"/>
        </w:rPr>
        <w:t>Net</w:t>
      </w:r>
      <w:proofErr w:type="spellEnd"/>
      <w:r w:rsidRPr="00D8089C">
        <w:rPr>
          <w:rFonts w:cstheme="minorHAnsi"/>
          <w:sz w:val="16"/>
          <w:szCs w:val="16"/>
          <w:lang w:eastAsia="en-CA"/>
        </w:rPr>
        <w:t xml:space="preserve"> cash farm income = Whole farm profitability + depreciation + changes in inventory + capital gains/losses.</w:t>
      </w:r>
    </w:p>
    <w:p w14:paraId="2008527E" w14:textId="77777777" w:rsidR="00B927AD" w:rsidRDefault="00B927AD">
      <w:pPr>
        <w:rPr>
          <w:rFonts w:cstheme="minorHAnsi"/>
          <w:sz w:val="16"/>
          <w:szCs w:val="16"/>
          <w:lang w:eastAsia="en-CA"/>
        </w:rPr>
      </w:pPr>
      <w:r>
        <w:rPr>
          <w:rFonts w:cstheme="minorHAnsi"/>
          <w:sz w:val="16"/>
          <w:szCs w:val="16"/>
          <w:lang w:eastAsia="en-CA"/>
        </w:rPr>
        <w:br w:type="page"/>
      </w:r>
    </w:p>
    <w:p w14:paraId="4228951C" w14:textId="77777777" w:rsidR="00B927AD" w:rsidRDefault="00B927AD" w:rsidP="00B927AD">
      <w:pPr>
        <w:pBdr>
          <w:top w:val="single" w:sz="4" w:space="1" w:color="auto"/>
          <w:left w:val="single" w:sz="4" w:space="4" w:color="auto"/>
          <w:bottom w:val="single" w:sz="4" w:space="1" w:color="auto"/>
          <w:right w:val="single" w:sz="4" w:space="4" w:color="auto"/>
        </w:pBdr>
        <w:rPr>
          <w:rFonts w:ascii="Neue Haas Grotesk Display Pro 4" w:hAnsi="Neue Haas Grotesk Display Pro 4"/>
          <w:lang w:val="en-US"/>
        </w:rPr>
      </w:pPr>
      <w:bookmarkStart w:id="0" w:name="_Hlk152657493"/>
      <w:bookmarkStart w:id="1" w:name="_Hlk152664090"/>
      <w:r>
        <w:rPr>
          <w:rFonts w:ascii="Neue Haas Grotesk Display Pro 4" w:hAnsi="Neue Haas Grotesk Display Pro 4"/>
          <w:lang w:val="en-US"/>
        </w:rPr>
        <w:lastRenderedPageBreak/>
        <w:t xml:space="preserve">Disclaimer / Copyright Notice:  </w:t>
      </w:r>
      <w:proofErr w:type="spellStart"/>
      <w:r>
        <w:rPr>
          <w:rFonts w:ascii="Neue Haas Grotesk Display Pro 4" w:hAnsi="Neue Haas Grotesk Display Pro 4"/>
          <w:lang w:val="en-US"/>
        </w:rPr>
        <w:t>Canfax</w:t>
      </w:r>
      <w:proofErr w:type="spellEnd"/>
      <w:r>
        <w:rPr>
          <w:rFonts w:ascii="Neue Haas Grotesk Display Pro 4" w:hAnsi="Neue Haas Grotesk Display Pro 4"/>
          <w:lang w:val="en-US"/>
        </w:rPr>
        <w:t xml:space="preserve"> Research Services (CRS) tries to provide quality information, but we make no claims, promises, or guarantees about the accuracy, completeness, or adequacy of the information. CRS does not guarantee and accepts no legal liability arising from or connected to, the accuracy, reliability, or completeness of any material contained in our publications. Reproduction and/or electronic transmission of this publication, in whole or in part, is strictly forbidden without written consent from CRS.</w:t>
      </w:r>
      <w:bookmarkEnd w:id="0"/>
      <w:bookmarkEnd w:id="1"/>
    </w:p>
    <w:p w14:paraId="60245502" w14:textId="77777777" w:rsidR="006F7147" w:rsidRPr="00B927AD" w:rsidRDefault="006F7147" w:rsidP="0016078A">
      <w:pPr>
        <w:spacing w:line="22" w:lineRule="atLeast"/>
        <w:rPr>
          <w:rFonts w:cstheme="minorHAnsi"/>
          <w:sz w:val="16"/>
          <w:szCs w:val="16"/>
          <w:lang w:val="en-US" w:eastAsia="en-CA"/>
        </w:rPr>
      </w:pPr>
    </w:p>
    <w:sectPr w:rsidR="006F7147" w:rsidRPr="00B927AD" w:rsidSect="005844A9">
      <w:headerReference w:type="default" r:id="rId12"/>
      <w:footerReference w:type="default" r:id="rId13"/>
      <w:headerReference w:type="first" r:id="rId14"/>
      <w:footerReference w:type="first" r:id="rId15"/>
      <w:pgSz w:w="15840" w:h="12240" w:orient="landscape" w:code="1"/>
      <w:pgMar w:top="1440" w:right="1440" w:bottom="1440" w:left="1440"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0350" w14:textId="77777777" w:rsidR="00A867B4" w:rsidRDefault="00A867B4" w:rsidP="00D81086">
      <w:pPr>
        <w:spacing w:after="0" w:line="240" w:lineRule="auto"/>
      </w:pPr>
      <w:r>
        <w:separator/>
      </w:r>
    </w:p>
  </w:endnote>
  <w:endnote w:type="continuationSeparator" w:id="0">
    <w:p w14:paraId="6BAD529E" w14:textId="77777777" w:rsidR="00A867B4" w:rsidRDefault="00A867B4" w:rsidP="00D81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delle">
    <w:altName w:val="Calibri"/>
    <w:panose1 w:val="00000000000000000000"/>
    <w:charset w:val="4D"/>
    <w:family w:val="auto"/>
    <w:notTrueType/>
    <w:pitch w:val="variable"/>
    <w:sig w:usb0="80000087" w:usb1="0000004B" w:usb2="00000000" w:usb3="00000000" w:csb0="00000083" w:csb1="00000000"/>
  </w:font>
  <w:font w:name="Neue Haas Grotesk Display Pro 4">
    <w:altName w:val="Calibri"/>
    <w:panose1 w:val="00000000000000000000"/>
    <w:charset w:val="4D"/>
    <w:family w:val="swiss"/>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4381" w14:textId="75D3B16B" w:rsidR="00D81086" w:rsidRDefault="00D81086" w:rsidP="00243511">
    <w:pPr>
      <w:pStyle w:val="Footer"/>
      <w:jc w:val="center"/>
    </w:pPr>
    <w:r>
      <w:rPr>
        <w:noProof/>
      </w:rPr>
      <w:drawing>
        <wp:inline distT="0" distB="0" distL="0" distR="0" wp14:anchorId="576F4331" wp14:editId="554A39F9">
          <wp:extent cx="5943600" cy="639422"/>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943600" cy="6394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CB2F" w14:textId="1B9EF913" w:rsidR="005844A9" w:rsidRDefault="005844A9" w:rsidP="005844A9">
    <w:pPr>
      <w:pStyle w:val="Footer"/>
      <w:jc w:val="center"/>
    </w:pPr>
    <w:r>
      <w:rPr>
        <w:noProof/>
      </w:rPr>
      <w:drawing>
        <wp:inline distT="0" distB="0" distL="0" distR="0" wp14:anchorId="3CC60BCB" wp14:editId="14BF45F0">
          <wp:extent cx="5943600" cy="63942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943600" cy="6394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C56DA" w14:textId="77777777" w:rsidR="00A867B4" w:rsidRDefault="00A867B4" w:rsidP="00D81086">
      <w:pPr>
        <w:spacing w:after="0" w:line="240" w:lineRule="auto"/>
      </w:pPr>
      <w:r>
        <w:separator/>
      </w:r>
    </w:p>
  </w:footnote>
  <w:footnote w:type="continuationSeparator" w:id="0">
    <w:p w14:paraId="594F4A6B" w14:textId="77777777" w:rsidR="00A867B4" w:rsidRDefault="00A867B4" w:rsidP="00D81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A905" w14:textId="166FA2C1" w:rsidR="00D81086" w:rsidRDefault="005844A9">
    <w:pPr>
      <w:pStyle w:val="Header"/>
    </w:pPr>
    <w:r>
      <w:rPr>
        <w:noProof/>
      </w:rPr>
      <w:drawing>
        <wp:anchor distT="0" distB="0" distL="0" distR="0" simplePos="0" relativeHeight="251663360" behindDoc="0" locked="0" layoutInCell="1" allowOverlap="1" wp14:anchorId="53C39131" wp14:editId="36C5FE15">
          <wp:simplePos x="0" y="0"/>
          <wp:positionH relativeFrom="page">
            <wp:posOffset>3175</wp:posOffset>
          </wp:positionH>
          <wp:positionV relativeFrom="paragraph">
            <wp:posOffset>3175</wp:posOffset>
          </wp:positionV>
          <wp:extent cx="10048875" cy="68834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048875" cy="6883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E870" w14:textId="1CC8F609" w:rsidR="005844A9" w:rsidRDefault="005844A9">
    <w:pPr>
      <w:pStyle w:val="Header"/>
    </w:pPr>
    <w:r>
      <w:rPr>
        <w:noProof/>
      </w:rPr>
      <w:drawing>
        <wp:anchor distT="0" distB="0" distL="0" distR="0" simplePos="0" relativeHeight="251661312" behindDoc="0" locked="0" layoutInCell="1" allowOverlap="1" wp14:anchorId="64937C0D" wp14:editId="3C5B4E35">
          <wp:simplePos x="0" y="0"/>
          <wp:positionH relativeFrom="page">
            <wp:posOffset>0</wp:posOffset>
          </wp:positionH>
          <wp:positionV relativeFrom="paragraph">
            <wp:posOffset>7924</wp:posOffset>
          </wp:positionV>
          <wp:extent cx="10067925" cy="3454400"/>
          <wp:effectExtent l="0" t="0" r="9525" b="0"/>
          <wp:wrapSquare wrapText="bothSides"/>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67925" cy="345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D13"/>
    <w:multiLevelType w:val="hybridMultilevel"/>
    <w:tmpl w:val="6A908A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4C5481"/>
    <w:multiLevelType w:val="hybridMultilevel"/>
    <w:tmpl w:val="1BD630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7D05DF8"/>
    <w:multiLevelType w:val="hybridMultilevel"/>
    <w:tmpl w:val="69021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3F235E7"/>
    <w:multiLevelType w:val="hybridMultilevel"/>
    <w:tmpl w:val="3CDAF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AB5616F"/>
    <w:multiLevelType w:val="hybridMultilevel"/>
    <w:tmpl w:val="4BE89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2852118">
    <w:abstractNumId w:val="2"/>
  </w:num>
  <w:num w:numId="2" w16cid:durableId="1162502422">
    <w:abstractNumId w:val="3"/>
  </w:num>
  <w:num w:numId="3" w16cid:durableId="1949389928">
    <w:abstractNumId w:val="4"/>
  </w:num>
  <w:num w:numId="4" w16cid:durableId="1009212131">
    <w:abstractNumId w:val="0"/>
  </w:num>
  <w:num w:numId="5" w16cid:durableId="356198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yszQyMjUzMjA3NTZX0lEKTi0uzszPAykwrAUA3QO2XCwAAAA="/>
  </w:docVars>
  <w:rsids>
    <w:rsidRoot w:val="000E7DC9"/>
    <w:rsid w:val="00001A2D"/>
    <w:rsid w:val="00011350"/>
    <w:rsid w:val="000124C6"/>
    <w:rsid w:val="0001529A"/>
    <w:rsid w:val="00024A41"/>
    <w:rsid w:val="00025232"/>
    <w:rsid w:val="00025E4F"/>
    <w:rsid w:val="00032EC5"/>
    <w:rsid w:val="00034E50"/>
    <w:rsid w:val="0003742B"/>
    <w:rsid w:val="000463AC"/>
    <w:rsid w:val="00054B82"/>
    <w:rsid w:val="0006560E"/>
    <w:rsid w:val="00070A20"/>
    <w:rsid w:val="00075886"/>
    <w:rsid w:val="00080266"/>
    <w:rsid w:val="00082815"/>
    <w:rsid w:val="00084139"/>
    <w:rsid w:val="00092DC6"/>
    <w:rsid w:val="000B2474"/>
    <w:rsid w:val="000B6394"/>
    <w:rsid w:val="000B6631"/>
    <w:rsid w:val="000C01A0"/>
    <w:rsid w:val="000C05AA"/>
    <w:rsid w:val="000C3CC6"/>
    <w:rsid w:val="000D37A1"/>
    <w:rsid w:val="000E7DC9"/>
    <w:rsid w:val="001046D0"/>
    <w:rsid w:val="001052FB"/>
    <w:rsid w:val="00106794"/>
    <w:rsid w:val="001146EC"/>
    <w:rsid w:val="00123C8C"/>
    <w:rsid w:val="001247C3"/>
    <w:rsid w:val="00132B1B"/>
    <w:rsid w:val="001344E2"/>
    <w:rsid w:val="0014286D"/>
    <w:rsid w:val="00152479"/>
    <w:rsid w:val="00156D82"/>
    <w:rsid w:val="0016078A"/>
    <w:rsid w:val="001668C9"/>
    <w:rsid w:val="00167978"/>
    <w:rsid w:val="00175E53"/>
    <w:rsid w:val="00182EDC"/>
    <w:rsid w:val="00183123"/>
    <w:rsid w:val="001A7183"/>
    <w:rsid w:val="001B201F"/>
    <w:rsid w:val="001B4DEE"/>
    <w:rsid w:val="001B5564"/>
    <w:rsid w:val="001B5B0F"/>
    <w:rsid w:val="001D4156"/>
    <w:rsid w:val="001E0C0C"/>
    <w:rsid w:val="001E66D7"/>
    <w:rsid w:val="001E7BF8"/>
    <w:rsid w:val="001F4E4F"/>
    <w:rsid w:val="002044A4"/>
    <w:rsid w:val="002117AB"/>
    <w:rsid w:val="00213745"/>
    <w:rsid w:val="00215A32"/>
    <w:rsid w:val="002364C6"/>
    <w:rsid w:val="00236552"/>
    <w:rsid w:val="00243511"/>
    <w:rsid w:val="002469EB"/>
    <w:rsid w:val="00251CAE"/>
    <w:rsid w:val="00273BC8"/>
    <w:rsid w:val="00275B27"/>
    <w:rsid w:val="002862DB"/>
    <w:rsid w:val="00291E13"/>
    <w:rsid w:val="00293A06"/>
    <w:rsid w:val="00294E73"/>
    <w:rsid w:val="002B0EA4"/>
    <w:rsid w:val="002B53E1"/>
    <w:rsid w:val="002C1A27"/>
    <w:rsid w:val="002D08A2"/>
    <w:rsid w:val="002D342C"/>
    <w:rsid w:val="002E4756"/>
    <w:rsid w:val="003005EE"/>
    <w:rsid w:val="00302D02"/>
    <w:rsid w:val="00307FE0"/>
    <w:rsid w:val="003106CF"/>
    <w:rsid w:val="003117CB"/>
    <w:rsid w:val="00311F23"/>
    <w:rsid w:val="00312C91"/>
    <w:rsid w:val="00312E87"/>
    <w:rsid w:val="00313910"/>
    <w:rsid w:val="003151BD"/>
    <w:rsid w:val="00315DDA"/>
    <w:rsid w:val="00316B50"/>
    <w:rsid w:val="00321299"/>
    <w:rsid w:val="003310C8"/>
    <w:rsid w:val="00332309"/>
    <w:rsid w:val="00335C89"/>
    <w:rsid w:val="0034065E"/>
    <w:rsid w:val="00340D75"/>
    <w:rsid w:val="00360983"/>
    <w:rsid w:val="0036145B"/>
    <w:rsid w:val="00365F6B"/>
    <w:rsid w:val="0037445B"/>
    <w:rsid w:val="003762CF"/>
    <w:rsid w:val="00377667"/>
    <w:rsid w:val="003A5221"/>
    <w:rsid w:val="003A6A3B"/>
    <w:rsid w:val="003A7347"/>
    <w:rsid w:val="003B4996"/>
    <w:rsid w:val="003C1877"/>
    <w:rsid w:val="003D361D"/>
    <w:rsid w:val="003F7811"/>
    <w:rsid w:val="0040042E"/>
    <w:rsid w:val="004040CA"/>
    <w:rsid w:val="00405B23"/>
    <w:rsid w:val="00415626"/>
    <w:rsid w:val="00430AE0"/>
    <w:rsid w:val="00432EF4"/>
    <w:rsid w:val="004423EA"/>
    <w:rsid w:val="00443647"/>
    <w:rsid w:val="00443F18"/>
    <w:rsid w:val="004440B6"/>
    <w:rsid w:val="00453F10"/>
    <w:rsid w:val="004577B5"/>
    <w:rsid w:val="0046074B"/>
    <w:rsid w:val="004725C0"/>
    <w:rsid w:val="00481912"/>
    <w:rsid w:val="00482071"/>
    <w:rsid w:val="004924DB"/>
    <w:rsid w:val="00497826"/>
    <w:rsid w:val="004A5CC6"/>
    <w:rsid w:val="004B61B9"/>
    <w:rsid w:val="004C7946"/>
    <w:rsid w:val="004D0082"/>
    <w:rsid w:val="004D3655"/>
    <w:rsid w:val="004D64FB"/>
    <w:rsid w:val="004E4243"/>
    <w:rsid w:val="004F1144"/>
    <w:rsid w:val="005115E8"/>
    <w:rsid w:val="00513240"/>
    <w:rsid w:val="00521652"/>
    <w:rsid w:val="00527887"/>
    <w:rsid w:val="0053658D"/>
    <w:rsid w:val="005428CF"/>
    <w:rsid w:val="00542C35"/>
    <w:rsid w:val="00545AFA"/>
    <w:rsid w:val="0056096C"/>
    <w:rsid w:val="005667F0"/>
    <w:rsid w:val="00580AC5"/>
    <w:rsid w:val="005844A9"/>
    <w:rsid w:val="005A69CA"/>
    <w:rsid w:val="005B670B"/>
    <w:rsid w:val="005B7005"/>
    <w:rsid w:val="005C2FAA"/>
    <w:rsid w:val="005C3CCA"/>
    <w:rsid w:val="005C4A0B"/>
    <w:rsid w:val="005C7340"/>
    <w:rsid w:val="005D46F6"/>
    <w:rsid w:val="005E6986"/>
    <w:rsid w:val="005E774F"/>
    <w:rsid w:val="005F6886"/>
    <w:rsid w:val="0060278D"/>
    <w:rsid w:val="00603642"/>
    <w:rsid w:val="00607645"/>
    <w:rsid w:val="00610064"/>
    <w:rsid w:val="00623D16"/>
    <w:rsid w:val="006242B9"/>
    <w:rsid w:val="00635E25"/>
    <w:rsid w:val="0064710F"/>
    <w:rsid w:val="00655555"/>
    <w:rsid w:val="0065693C"/>
    <w:rsid w:val="006577B7"/>
    <w:rsid w:val="00657FBA"/>
    <w:rsid w:val="00672F3F"/>
    <w:rsid w:val="0067390A"/>
    <w:rsid w:val="00675F18"/>
    <w:rsid w:val="0068100C"/>
    <w:rsid w:val="00682CCF"/>
    <w:rsid w:val="00690F56"/>
    <w:rsid w:val="0069199F"/>
    <w:rsid w:val="00692B5B"/>
    <w:rsid w:val="00692C4F"/>
    <w:rsid w:val="006A6121"/>
    <w:rsid w:val="006A722F"/>
    <w:rsid w:val="006C4E98"/>
    <w:rsid w:val="006E2FD7"/>
    <w:rsid w:val="006E36F9"/>
    <w:rsid w:val="006E4BFF"/>
    <w:rsid w:val="006F1659"/>
    <w:rsid w:val="006F7147"/>
    <w:rsid w:val="006F782C"/>
    <w:rsid w:val="007008E7"/>
    <w:rsid w:val="007076D9"/>
    <w:rsid w:val="0071554D"/>
    <w:rsid w:val="007216D6"/>
    <w:rsid w:val="00721797"/>
    <w:rsid w:val="00722EBC"/>
    <w:rsid w:val="00726304"/>
    <w:rsid w:val="007354C2"/>
    <w:rsid w:val="007357D1"/>
    <w:rsid w:val="0074305A"/>
    <w:rsid w:val="00753F0E"/>
    <w:rsid w:val="007555AF"/>
    <w:rsid w:val="007757EA"/>
    <w:rsid w:val="007A47E0"/>
    <w:rsid w:val="007C6289"/>
    <w:rsid w:val="007D751D"/>
    <w:rsid w:val="007E6CBF"/>
    <w:rsid w:val="00801387"/>
    <w:rsid w:val="00807F84"/>
    <w:rsid w:val="00850DBE"/>
    <w:rsid w:val="008518FC"/>
    <w:rsid w:val="008552D5"/>
    <w:rsid w:val="008559C5"/>
    <w:rsid w:val="008678F9"/>
    <w:rsid w:val="008835C8"/>
    <w:rsid w:val="008847B0"/>
    <w:rsid w:val="0088496D"/>
    <w:rsid w:val="0088525E"/>
    <w:rsid w:val="00886861"/>
    <w:rsid w:val="0089362A"/>
    <w:rsid w:val="008964C0"/>
    <w:rsid w:val="008A1616"/>
    <w:rsid w:val="008A4E50"/>
    <w:rsid w:val="008B2D32"/>
    <w:rsid w:val="008B4406"/>
    <w:rsid w:val="008C320F"/>
    <w:rsid w:val="008C4CAC"/>
    <w:rsid w:val="008C6E93"/>
    <w:rsid w:val="008D35C5"/>
    <w:rsid w:val="008E2261"/>
    <w:rsid w:val="008E4AAA"/>
    <w:rsid w:val="008F1523"/>
    <w:rsid w:val="009059A2"/>
    <w:rsid w:val="00910494"/>
    <w:rsid w:val="009106B2"/>
    <w:rsid w:val="0091505E"/>
    <w:rsid w:val="00923E42"/>
    <w:rsid w:val="00926B70"/>
    <w:rsid w:val="00941A24"/>
    <w:rsid w:val="00944EC6"/>
    <w:rsid w:val="009570E0"/>
    <w:rsid w:val="00960471"/>
    <w:rsid w:val="009607A6"/>
    <w:rsid w:val="009820AB"/>
    <w:rsid w:val="00990A98"/>
    <w:rsid w:val="009917A1"/>
    <w:rsid w:val="009C2FB6"/>
    <w:rsid w:val="009C3C3D"/>
    <w:rsid w:val="009D3C04"/>
    <w:rsid w:val="009E5372"/>
    <w:rsid w:val="009E60A8"/>
    <w:rsid w:val="00A03DBA"/>
    <w:rsid w:val="00A056B6"/>
    <w:rsid w:val="00A06DF7"/>
    <w:rsid w:val="00A20BF4"/>
    <w:rsid w:val="00A24274"/>
    <w:rsid w:val="00A32A1A"/>
    <w:rsid w:val="00A45DD9"/>
    <w:rsid w:val="00A540D7"/>
    <w:rsid w:val="00A5606C"/>
    <w:rsid w:val="00A606F1"/>
    <w:rsid w:val="00A715BB"/>
    <w:rsid w:val="00A74F26"/>
    <w:rsid w:val="00A77A98"/>
    <w:rsid w:val="00A853E8"/>
    <w:rsid w:val="00A8649D"/>
    <w:rsid w:val="00A867B4"/>
    <w:rsid w:val="00A91986"/>
    <w:rsid w:val="00A96538"/>
    <w:rsid w:val="00A96F50"/>
    <w:rsid w:val="00A9787D"/>
    <w:rsid w:val="00AB7B20"/>
    <w:rsid w:val="00AC41CD"/>
    <w:rsid w:val="00AC7030"/>
    <w:rsid w:val="00AD33E2"/>
    <w:rsid w:val="00B06037"/>
    <w:rsid w:val="00B10470"/>
    <w:rsid w:val="00B1521B"/>
    <w:rsid w:val="00B23AB6"/>
    <w:rsid w:val="00B3670B"/>
    <w:rsid w:val="00B36BD6"/>
    <w:rsid w:val="00B4768C"/>
    <w:rsid w:val="00B52954"/>
    <w:rsid w:val="00B7053D"/>
    <w:rsid w:val="00B70B0E"/>
    <w:rsid w:val="00B85648"/>
    <w:rsid w:val="00B927AD"/>
    <w:rsid w:val="00B93524"/>
    <w:rsid w:val="00B9429F"/>
    <w:rsid w:val="00B94FCD"/>
    <w:rsid w:val="00BA3BB4"/>
    <w:rsid w:val="00BB5290"/>
    <w:rsid w:val="00BD0484"/>
    <w:rsid w:val="00BD1FE9"/>
    <w:rsid w:val="00BF4F31"/>
    <w:rsid w:val="00C0163E"/>
    <w:rsid w:val="00C04650"/>
    <w:rsid w:val="00C06267"/>
    <w:rsid w:val="00C0655A"/>
    <w:rsid w:val="00C06717"/>
    <w:rsid w:val="00C07AC4"/>
    <w:rsid w:val="00C208EE"/>
    <w:rsid w:val="00C241C2"/>
    <w:rsid w:val="00C2705B"/>
    <w:rsid w:val="00C31464"/>
    <w:rsid w:val="00C31EDB"/>
    <w:rsid w:val="00C526A8"/>
    <w:rsid w:val="00C728C3"/>
    <w:rsid w:val="00C81B4C"/>
    <w:rsid w:val="00C83583"/>
    <w:rsid w:val="00C85D37"/>
    <w:rsid w:val="00C90ABB"/>
    <w:rsid w:val="00C914C6"/>
    <w:rsid w:val="00CB4CF3"/>
    <w:rsid w:val="00CB6AD0"/>
    <w:rsid w:val="00CC3A8D"/>
    <w:rsid w:val="00CD543B"/>
    <w:rsid w:val="00CF63A9"/>
    <w:rsid w:val="00D0206B"/>
    <w:rsid w:val="00D02DAE"/>
    <w:rsid w:val="00D047B0"/>
    <w:rsid w:val="00D115BE"/>
    <w:rsid w:val="00D16DE0"/>
    <w:rsid w:val="00D258B0"/>
    <w:rsid w:val="00D25CA2"/>
    <w:rsid w:val="00D2731F"/>
    <w:rsid w:val="00D30351"/>
    <w:rsid w:val="00D30EA9"/>
    <w:rsid w:val="00D31CE4"/>
    <w:rsid w:val="00D34E0A"/>
    <w:rsid w:val="00D431E4"/>
    <w:rsid w:val="00D43893"/>
    <w:rsid w:val="00D461A0"/>
    <w:rsid w:val="00D50305"/>
    <w:rsid w:val="00D603CC"/>
    <w:rsid w:val="00D6647C"/>
    <w:rsid w:val="00D66E2B"/>
    <w:rsid w:val="00D66FDC"/>
    <w:rsid w:val="00D71198"/>
    <w:rsid w:val="00D76EFD"/>
    <w:rsid w:val="00D8089C"/>
    <w:rsid w:val="00D81086"/>
    <w:rsid w:val="00D93136"/>
    <w:rsid w:val="00DA0482"/>
    <w:rsid w:val="00DA22B8"/>
    <w:rsid w:val="00DA3EA4"/>
    <w:rsid w:val="00DB1BCC"/>
    <w:rsid w:val="00DB6628"/>
    <w:rsid w:val="00DC2620"/>
    <w:rsid w:val="00DD4855"/>
    <w:rsid w:val="00DE33FD"/>
    <w:rsid w:val="00DF5BFD"/>
    <w:rsid w:val="00DF75AC"/>
    <w:rsid w:val="00E20566"/>
    <w:rsid w:val="00E212D7"/>
    <w:rsid w:val="00E23C1C"/>
    <w:rsid w:val="00E250FB"/>
    <w:rsid w:val="00E32105"/>
    <w:rsid w:val="00E359A6"/>
    <w:rsid w:val="00E40443"/>
    <w:rsid w:val="00E40CFB"/>
    <w:rsid w:val="00E4267A"/>
    <w:rsid w:val="00E43DFE"/>
    <w:rsid w:val="00E51962"/>
    <w:rsid w:val="00E52CE5"/>
    <w:rsid w:val="00E61E86"/>
    <w:rsid w:val="00E66258"/>
    <w:rsid w:val="00E704B4"/>
    <w:rsid w:val="00E7284A"/>
    <w:rsid w:val="00E7608E"/>
    <w:rsid w:val="00E863F6"/>
    <w:rsid w:val="00E8670D"/>
    <w:rsid w:val="00E974FA"/>
    <w:rsid w:val="00EA547E"/>
    <w:rsid w:val="00EB5C5C"/>
    <w:rsid w:val="00EC3FB8"/>
    <w:rsid w:val="00EC52ED"/>
    <w:rsid w:val="00EC5A93"/>
    <w:rsid w:val="00ED0885"/>
    <w:rsid w:val="00ED581E"/>
    <w:rsid w:val="00ED6244"/>
    <w:rsid w:val="00ED6AD0"/>
    <w:rsid w:val="00EE1E05"/>
    <w:rsid w:val="00EE31BD"/>
    <w:rsid w:val="00EE749A"/>
    <w:rsid w:val="00F1102E"/>
    <w:rsid w:val="00F22651"/>
    <w:rsid w:val="00F27DB5"/>
    <w:rsid w:val="00F33980"/>
    <w:rsid w:val="00F36F86"/>
    <w:rsid w:val="00F41183"/>
    <w:rsid w:val="00F424DF"/>
    <w:rsid w:val="00F54A85"/>
    <w:rsid w:val="00F55EFE"/>
    <w:rsid w:val="00F5762B"/>
    <w:rsid w:val="00F65924"/>
    <w:rsid w:val="00F75CAB"/>
    <w:rsid w:val="00F76667"/>
    <w:rsid w:val="00F84EB6"/>
    <w:rsid w:val="00F85752"/>
    <w:rsid w:val="00F86886"/>
    <w:rsid w:val="00FA01F4"/>
    <w:rsid w:val="00FA7E0B"/>
    <w:rsid w:val="00FB5D70"/>
    <w:rsid w:val="00FC0C08"/>
    <w:rsid w:val="00FC31FE"/>
    <w:rsid w:val="00FC7483"/>
    <w:rsid w:val="00FD0426"/>
    <w:rsid w:val="00FE1A01"/>
    <w:rsid w:val="00FF65B8"/>
    <w:rsid w:val="00FF7D6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589A3"/>
  <w15:chartTrackingRefBased/>
  <w15:docId w15:val="{A19E939C-2407-432D-986B-13BA0834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3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351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86"/>
  </w:style>
  <w:style w:type="paragraph" w:styleId="Footer">
    <w:name w:val="footer"/>
    <w:basedOn w:val="Normal"/>
    <w:link w:val="FooterChar"/>
    <w:uiPriority w:val="99"/>
    <w:unhideWhenUsed/>
    <w:rsid w:val="00D81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86"/>
  </w:style>
  <w:style w:type="paragraph" w:customStyle="1" w:styleId="COPTitle">
    <w:name w:val="COP Title"/>
    <w:basedOn w:val="Normal"/>
    <w:next w:val="Heading1"/>
    <w:qFormat/>
    <w:rsid w:val="00243511"/>
    <w:pPr>
      <w:spacing w:after="0" w:line="240" w:lineRule="auto"/>
    </w:pPr>
    <w:rPr>
      <w:rFonts w:ascii="Adelle" w:hAnsi="Adelle"/>
      <w:b/>
      <w:color w:val="ED7D31" w:themeColor="accent2"/>
      <w:sz w:val="44"/>
      <w:szCs w:val="24"/>
      <w:lang w:val="en-US"/>
    </w:rPr>
  </w:style>
  <w:style w:type="character" w:customStyle="1" w:styleId="Heading1Char">
    <w:name w:val="Heading 1 Char"/>
    <w:basedOn w:val="DefaultParagraphFont"/>
    <w:link w:val="Heading1"/>
    <w:uiPriority w:val="9"/>
    <w:rsid w:val="002435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351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5C3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C3CC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273BC8"/>
    <w:pPr>
      <w:ind w:left="720"/>
      <w:contextualSpacing/>
    </w:pPr>
  </w:style>
  <w:style w:type="character" w:styleId="CommentReference">
    <w:name w:val="annotation reference"/>
    <w:basedOn w:val="DefaultParagraphFont"/>
    <w:uiPriority w:val="99"/>
    <w:semiHidden/>
    <w:unhideWhenUsed/>
    <w:rsid w:val="00FB5D70"/>
    <w:rPr>
      <w:sz w:val="16"/>
      <w:szCs w:val="16"/>
    </w:rPr>
  </w:style>
  <w:style w:type="paragraph" w:styleId="CommentText">
    <w:name w:val="annotation text"/>
    <w:basedOn w:val="Normal"/>
    <w:link w:val="CommentTextChar"/>
    <w:uiPriority w:val="99"/>
    <w:unhideWhenUsed/>
    <w:rsid w:val="00FB5D70"/>
    <w:pPr>
      <w:spacing w:line="240" w:lineRule="auto"/>
    </w:pPr>
    <w:rPr>
      <w:sz w:val="20"/>
      <w:szCs w:val="20"/>
    </w:rPr>
  </w:style>
  <w:style w:type="character" w:customStyle="1" w:styleId="CommentTextChar">
    <w:name w:val="Comment Text Char"/>
    <w:basedOn w:val="DefaultParagraphFont"/>
    <w:link w:val="CommentText"/>
    <w:uiPriority w:val="99"/>
    <w:rsid w:val="00FB5D70"/>
    <w:rPr>
      <w:sz w:val="20"/>
      <w:szCs w:val="20"/>
    </w:rPr>
  </w:style>
  <w:style w:type="paragraph" w:styleId="CommentSubject">
    <w:name w:val="annotation subject"/>
    <w:basedOn w:val="CommentText"/>
    <w:next w:val="CommentText"/>
    <w:link w:val="CommentSubjectChar"/>
    <w:uiPriority w:val="99"/>
    <w:semiHidden/>
    <w:unhideWhenUsed/>
    <w:rsid w:val="00FB5D70"/>
    <w:rPr>
      <w:b/>
      <w:bCs/>
    </w:rPr>
  </w:style>
  <w:style w:type="character" w:customStyle="1" w:styleId="CommentSubjectChar">
    <w:name w:val="Comment Subject Char"/>
    <w:basedOn w:val="CommentTextChar"/>
    <w:link w:val="CommentSubject"/>
    <w:uiPriority w:val="99"/>
    <w:semiHidden/>
    <w:rsid w:val="00FB5D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2850">
      <w:bodyDiv w:val="1"/>
      <w:marLeft w:val="0"/>
      <w:marRight w:val="0"/>
      <w:marTop w:val="0"/>
      <w:marBottom w:val="0"/>
      <w:divBdr>
        <w:top w:val="none" w:sz="0" w:space="0" w:color="auto"/>
        <w:left w:val="none" w:sz="0" w:space="0" w:color="auto"/>
        <w:bottom w:val="none" w:sz="0" w:space="0" w:color="auto"/>
        <w:right w:val="none" w:sz="0" w:space="0" w:color="auto"/>
      </w:divBdr>
    </w:div>
    <w:div w:id="299462354">
      <w:bodyDiv w:val="1"/>
      <w:marLeft w:val="0"/>
      <w:marRight w:val="0"/>
      <w:marTop w:val="0"/>
      <w:marBottom w:val="0"/>
      <w:divBdr>
        <w:top w:val="none" w:sz="0" w:space="0" w:color="auto"/>
        <w:left w:val="none" w:sz="0" w:space="0" w:color="auto"/>
        <w:bottom w:val="none" w:sz="0" w:space="0" w:color="auto"/>
        <w:right w:val="none" w:sz="0" w:space="0" w:color="auto"/>
      </w:divBdr>
    </w:div>
    <w:div w:id="390278517">
      <w:bodyDiv w:val="1"/>
      <w:marLeft w:val="0"/>
      <w:marRight w:val="0"/>
      <w:marTop w:val="0"/>
      <w:marBottom w:val="0"/>
      <w:divBdr>
        <w:top w:val="none" w:sz="0" w:space="0" w:color="auto"/>
        <w:left w:val="none" w:sz="0" w:space="0" w:color="auto"/>
        <w:bottom w:val="none" w:sz="0" w:space="0" w:color="auto"/>
        <w:right w:val="none" w:sz="0" w:space="0" w:color="auto"/>
      </w:divBdr>
    </w:div>
    <w:div w:id="437144505">
      <w:bodyDiv w:val="1"/>
      <w:marLeft w:val="0"/>
      <w:marRight w:val="0"/>
      <w:marTop w:val="0"/>
      <w:marBottom w:val="0"/>
      <w:divBdr>
        <w:top w:val="none" w:sz="0" w:space="0" w:color="auto"/>
        <w:left w:val="none" w:sz="0" w:space="0" w:color="auto"/>
        <w:bottom w:val="none" w:sz="0" w:space="0" w:color="auto"/>
        <w:right w:val="none" w:sz="0" w:space="0" w:color="auto"/>
      </w:divBdr>
    </w:div>
    <w:div w:id="849298618">
      <w:bodyDiv w:val="1"/>
      <w:marLeft w:val="0"/>
      <w:marRight w:val="0"/>
      <w:marTop w:val="0"/>
      <w:marBottom w:val="0"/>
      <w:divBdr>
        <w:top w:val="none" w:sz="0" w:space="0" w:color="auto"/>
        <w:left w:val="none" w:sz="0" w:space="0" w:color="auto"/>
        <w:bottom w:val="none" w:sz="0" w:space="0" w:color="auto"/>
        <w:right w:val="none" w:sz="0" w:space="0" w:color="auto"/>
      </w:divBdr>
    </w:div>
    <w:div w:id="1178154678">
      <w:bodyDiv w:val="1"/>
      <w:marLeft w:val="0"/>
      <w:marRight w:val="0"/>
      <w:marTop w:val="0"/>
      <w:marBottom w:val="0"/>
      <w:divBdr>
        <w:top w:val="none" w:sz="0" w:space="0" w:color="auto"/>
        <w:left w:val="none" w:sz="0" w:space="0" w:color="auto"/>
        <w:bottom w:val="none" w:sz="0" w:space="0" w:color="auto"/>
        <w:right w:val="none" w:sz="0" w:space="0" w:color="auto"/>
      </w:divBdr>
    </w:div>
    <w:div w:id="1496534620">
      <w:bodyDiv w:val="1"/>
      <w:marLeft w:val="0"/>
      <w:marRight w:val="0"/>
      <w:marTop w:val="0"/>
      <w:marBottom w:val="0"/>
      <w:divBdr>
        <w:top w:val="none" w:sz="0" w:space="0" w:color="auto"/>
        <w:left w:val="none" w:sz="0" w:space="0" w:color="auto"/>
        <w:bottom w:val="none" w:sz="0" w:space="0" w:color="auto"/>
        <w:right w:val="none" w:sz="0" w:space="0" w:color="auto"/>
      </w:divBdr>
    </w:div>
    <w:div w:id="175913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nna\OneDrive\Desktop\working%20do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FXDC02\Shared\CRS\Projects\CDN%20COP%20Network\Global%20Results\2021\Case%20studies\Case%20study%20comparisons%20-%20chart%20gener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nna\OneDrive\Desktop\working%20do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nna\OneDrive\Desktop\working%20do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Cost of Production ($/cow)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'SK-5 US-160-0'!$H$36</c:f>
              <c:strCache>
                <c:ptCount val="1"/>
                <c:pt idx="0">
                  <c:v>Cash costs</c:v>
                </c:pt>
              </c:strCache>
            </c:strRef>
          </c:tx>
          <c:spPr>
            <a:solidFill>
              <a:schemeClr val="accent1"/>
            </a:solidFill>
            <a:ln>
              <a:noFill/>
            </a:ln>
            <a:effectLst/>
          </c:spPr>
          <c:invertIfNegative val="0"/>
          <c:cat>
            <c:strRef>
              <c:f>'SK-5 US-160-0'!$B$1:$C$1</c:f>
              <c:strCache>
                <c:ptCount val="2"/>
                <c:pt idx="0">
                  <c:v>SK-5</c:v>
                </c:pt>
                <c:pt idx="1">
                  <c:v>US-160-0</c:v>
                </c:pt>
              </c:strCache>
            </c:strRef>
          </c:cat>
          <c:val>
            <c:numRef>
              <c:f>'SK-5 US-160-0'!$I$36:$J$36</c:f>
              <c:numCache>
                <c:formatCode>#,##0</c:formatCode>
                <c:ptCount val="2"/>
                <c:pt idx="0">
                  <c:v>1159.1400433462607</c:v>
                </c:pt>
                <c:pt idx="1">
                  <c:v>1008.5689578232871</c:v>
                </c:pt>
              </c:numCache>
            </c:numRef>
          </c:val>
          <c:extLst>
            <c:ext xmlns:c16="http://schemas.microsoft.com/office/drawing/2014/chart" uri="{C3380CC4-5D6E-409C-BE32-E72D297353CC}">
              <c16:uniqueId val="{00000000-D36F-4AE8-9886-C595BE94281B}"/>
            </c:ext>
          </c:extLst>
        </c:ser>
        <c:ser>
          <c:idx val="1"/>
          <c:order val="1"/>
          <c:tx>
            <c:strRef>
              <c:f>'SK-5 US-160-0'!$H$37</c:f>
              <c:strCache>
                <c:ptCount val="1"/>
                <c:pt idx="0">
                  <c:v>Depreciation</c:v>
                </c:pt>
              </c:strCache>
            </c:strRef>
          </c:tx>
          <c:spPr>
            <a:solidFill>
              <a:schemeClr val="accent2"/>
            </a:solidFill>
            <a:ln>
              <a:noFill/>
            </a:ln>
            <a:effectLst/>
          </c:spPr>
          <c:invertIfNegative val="0"/>
          <c:cat>
            <c:strRef>
              <c:f>'SK-5 US-160-0'!$B$1:$C$1</c:f>
              <c:strCache>
                <c:ptCount val="2"/>
                <c:pt idx="0">
                  <c:v>SK-5</c:v>
                </c:pt>
                <c:pt idx="1">
                  <c:v>US-160-0</c:v>
                </c:pt>
              </c:strCache>
            </c:strRef>
          </c:cat>
          <c:val>
            <c:numRef>
              <c:f>'SK-5 US-160-0'!$I$37:$J$37</c:f>
              <c:numCache>
                <c:formatCode>#,##0</c:formatCode>
                <c:ptCount val="2"/>
                <c:pt idx="0">
                  <c:v>171.99918318370345</c:v>
                </c:pt>
                <c:pt idx="1">
                  <c:v>49.365337266083294</c:v>
                </c:pt>
              </c:numCache>
            </c:numRef>
          </c:val>
          <c:extLst>
            <c:ext xmlns:c16="http://schemas.microsoft.com/office/drawing/2014/chart" uri="{C3380CC4-5D6E-409C-BE32-E72D297353CC}">
              <c16:uniqueId val="{00000001-D36F-4AE8-9886-C595BE94281B}"/>
            </c:ext>
          </c:extLst>
        </c:ser>
        <c:ser>
          <c:idx val="2"/>
          <c:order val="2"/>
          <c:tx>
            <c:strRef>
              <c:f>'SK-5 US-160-0'!$H$38</c:f>
              <c:strCache>
                <c:ptCount val="1"/>
                <c:pt idx="0">
                  <c:v>Opportunity cost</c:v>
                </c:pt>
              </c:strCache>
            </c:strRef>
          </c:tx>
          <c:spPr>
            <a:solidFill>
              <a:schemeClr val="accent3"/>
            </a:solidFill>
            <a:ln>
              <a:noFill/>
            </a:ln>
            <a:effectLst/>
          </c:spPr>
          <c:invertIfNegative val="0"/>
          <c:cat>
            <c:strRef>
              <c:f>'SK-5 US-160-0'!$B$1:$C$1</c:f>
              <c:strCache>
                <c:ptCount val="2"/>
                <c:pt idx="0">
                  <c:v>SK-5</c:v>
                </c:pt>
                <c:pt idx="1">
                  <c:v>US-160-0</c:v>
                </c:pt>
              </c:strCache>
            </c:strRef>
          </c:cat>
          <c:val>
            <c:numRef>
              <c:f>'SK-5 US-160-0'!$I$38:$J$38</c:f>
              <c:numCache>
                <c:formatCode>#,##0</c:formatCode>
                <c:ptCount val="2"/>
                <c:pt idx="0">
                  <c:v>478.16496096023957</c:v>
                </c:pt>
                <c:pt idx="1">
                  <c:v>229.68258566944141</c:v>
                </c:pt>
              </c:numCache>
            </c:numRef>
          </c:val>
          <c:extLst>
            <c:ext xmlns:c16="http://schemas.microsoft.com/office/drawing/2014/chart" uri="{C3380CC4-5D6E-409C-BE32-E72D297353CC}">
              <c16:uniqueId val="{00000002-D36F-4AE8-9886-C595BE94281B}"/>
            </c:ext>
          </c:extLst>
        </c:ser>
        <c:dLbls>
          <c:showLegendKey val="0"/>
          <c:showVal val="0"/>
          <c:showCatName val="0"/>
          <c:showSerName val="0"/>
          <c:showPercent val="0"/>
          <c:showBubbleSize val="0"/>
        </c:dLbls>
        <c:gapWidth val="150"/>
        <c:overlap val="100"/>
        <c:axId val="519384623"/>
        <c:axId val="519382127"/>
      </c:barChart>
      <c:lineChart>
        <c:grouping val="standard"/>
        <c:varyColors val="0"/>
        <c:ser>
          <c:idx val="3"/>
          <c:order val="3"/>
          <c:tx>
            <c:strRef>
              <c:f>'SK-5 US-160-0'!$H$39</c:f>
              <c:strCache>
                <c:ptCount val="1"/>
                <c:pt idx="0">
                  <c:v>Revenue</c:v>
                </c:pt>
              </c:strCache>
            </c:strRef>
          </c:tx>
          <c:spPr>
            <a:ln w="28575" cap="rnd">
              <a:noFill/>
              <a:round/>
            </a:ln>
            <a:effectLst/>
          </c:spPr>
          <c:marker>
            <c:symbol val="circle"/>
            <c:size val="5"/>
            <c:spPr>
              <a:solidFill>
                <a:schemeClr val="accent4"/>
              </a:solidFill>
              <a:ln w="9525">
                <a:solidFill>
                  <a:schemeClr val="accent4"/>
                </a:solidFill>
              </a:ln>
              <a:effectLst/>
            </c:spPr>
          </c:marker>
          <c:cat>
            <c:strRef>
              <c:f>'SK-5 US-160-0'!$B$1:$C$1</c:f>
              <c:strCache>
                <c:ptCount val="2"/>
                <c:pt idx="0">
                  <c:v>SK-5</c:v>
                </c:pt>
                <c:pt idx="1">
                  <c:v>US-160-0</c:v>
                </c:pt>
              </c:strCache>
            </c:strRef>
          </c:cat>
          <c:val>
            <c:numRef>
              <c:f>'SK-5 US-160-0'!$I$39:$J$39</c:f>
              <c:numCache>
                <c:formatCode>#,##0</c:formatCode>
                <c:ptCount val="2"/>
                <c:pt idx="0">
                  <c:v>1085.2520708361276</c:v>
                </c:pt>
                <c:pt idx="1">
                  <c:v>1041.1064467577642</c:v>
                </c:pt>
              </c:numCache>
            </c:numRef>
          </c:val>
          <c:smooth val="0"/>
          <c:extLst>
            <c:ext xmlns:c16="http://schemas.microsoft.com/office/drawing/2014/chart" uri="{C3380CC4-5D6E-409C-BE32-E72D297353CC}">
              <c16:uniqueId val="{00000003-D36F-4AE8-9886-C595BE94281B}"/>
            </c:ext>
          </c:extLst>
        </c:ser>
        <c:dLbls>
          <c:showLegendKey val="0"/>
          <c:showVal val="0"/>
          <c:showCatName val="0"/>
          <c:showSerName val="0"/>
          <c:showPercent val="0"/>
          <c:showBubbleSize val="0"/>
        </c:dLbls>
        <c:marker val="1"/>
        <c:smooth val="0"/>
        <c:axId val="519384623"/>
        <c:axId val="519382127"/>
      </c:lineChart>
      <c:catAx>
        <c:axId val="51938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82127"/>
        <c:crosses val="autoZero"/>
        <c:auto val="1"/>
        <c:lblAlgn val="ctr"/>
        <c:lblOffset val="100"/>
        <c:noMultiLvlLbl val="0"/>
      </c:catAx>
      <c:valAx>
        <c:axId val="519382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8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CA" b="1"/>
              <a:t>SK-5</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dPt>
            <c:idx val="0"/>
            <c:bubble3D val="0"/>
            <c:spPr>
              <a:solidFill>
                <a:schemeClr val="accent2">
                  <a:shade val="47000"/>
                </a:schemeClr>
              </a:solidFill>
              <a:ln w="19050">
                <a:solidFill>
                  <a:schemeClr val="lt1"/>
                </a:solidFill>
              </a:ln>
              <a:effectLst/>
            </c:spPr>
            <c:extLst>
              <c:ext xmlns:c16="http://schemas.microsoft.com/office/drawing/2014/chart" uri="{C3380CC4-5D6E-409C-BE32-E72D297353CC}">
                <c16:uniqueId val="{00000001-DD84-4450-BD3F-BDCC2FBE2621}"/>
              </c:ext>
            </c:extLst>
          </c:dPt>
          <c:dPt>
            <c:idx val="1"/>
            <c:bubble3D val="0"/>
            <c:spPr>
              <a:solidFill>
                <a:schemeClr val="accent2">
                  <a:shade val="65000"/>
                </a:schemeClr>
              </a:solidFill>
              <a:ln w="19050">
                <a:solidFill>
                  <a:schemeClr val="lt1"/>
                </a:solidFill>
              </a:ln>
              <a:effectLst/>
            </c:spPr>
            <c:extLst>
              <c:ext xmlns:c16="http://schemas.microsoft.com/office/drawing/2014/chart" uri="{C3380CC4-5D6E-409C-BE32-E72D297353CC}">
                <c16:uniqueId val="{00000003-DD84-4450-BD3F-BDCC2FBE2621}"/>
              </c:ext>
            </c:extLst>
          </c:dPt>
          <c:dPt>
            <c:idx val="2"/>
            <c:bubble3D val="0"/>
            <c:spPr>
              <a:solidFill>
                <a:schemeClr val="accent2">
                  <a:shade val="82000"/>
                </a:schemeClr>
              </a:solidFill>
              <a:ln w="19050">
                <a:solidFill>
                  <a:schemeClr val="lt1"/>
                </a:solidFill>
              </a:ln>
              <a:effectLst/>
            </c:spPr>
            <c:extLst>
              <c:ext xmlns:c16="http://schemas.microsoft.com/office/drawing/2014/chart" uri="{C3380CC4-5D6E-409C-BE32-E72D297353CC}">
                <c16:uniqueId val="{00000005-DD84-4450-BD3F-BDCC2FBE2621}"/>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DD84-4450-BD3F-BDCC2FBE2621}"/>
              </c:ext>
            </c:extLst>
          </c:dPt>
          <c:dPt>
            <c:idx val="4"/>
            <c:bubble3D val="0"/>
            <c:spPr>
              <a:solidFill>
                <a:schemeClr val="accent2">
                  <a:tint val="83000"/>
                </a:schemeClr>
              </a:solidFill>
              <a:ln w="19050">
                <a:solidFill>
                  <a:schemeClr val="lt1"/>
                </a:solidFill>
              </a:ln>
              <a:effectLst/>
            </c:spPr>
            <c:extLst>
              <c:ext xmlns:c16="http://schemas.microsoft.com/office/drawing/2014/chart" uri="{C3380CC4-5D6E-409C-BE32-E72D297353CC}">
                <c16:uniqueId val="{00000009-DD84-4450-BD3F-BDCC2FBE2621}"/>
              </c:ext>
            </c:extLst>
          </c:dPt>
          <c:dPt>
            <c:idx val="5"/>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B-DD84-4450-BD3F-BDCC2FBE2621}"/>
              </c:ext>
            </c:extLst>
          </c:dPt>
          <c:dPt>
            <c:idx val="6"/>
            <c:bubble3D val="0"/>
            <c:spPr>
              <a:solidFill>
                <a:schemeClr val="accent2">
                  <a:tint val="48000"/>
                </a:schemeClr>
              </a:solidFill>
              <a:ln w="19050">
                <a:solidFill>
                  <a:schemeClr val="lt1"/>
                </a:solidFill>
              </a:ln>
              <a:effectLst/>
            </c:spPr>
            <c:extLst>
              <c:ext xmlns:c16="http://schemas.microsoft.com/office/drawing/2014/chart" uri="{C3380CC4-5D6E-409C-BE32-E72D297353CC}">
                <c16:uniqueId val="{0000000D-DD84-4450-BD3F-BDCC2FBE2621}"/>
              </c:ext>
            </c:extLst>
          </c:dPt>
          <c:dPt>
            <c:idx val="7"/>
            <c:bubble3D val="0"/>
            <c:spPr>
              <a:solidFill>
                <a:schemeClr val="accent2">
                  <a:tint val="30000"/>
                </a:schemeClr>
              </a:solidFill>
              <a:ln w="19050">
                <a:solidFill>
                  <a:schemeClr val="lt1"/>
                </a:solidFill>
              </a:ln>
              <a:effectLst/>
            </c:spPr>
            <c:extLst>
              <c:ext xmlns:c16="http://schemas.microsoft.com/office/drawing/2014/chart" uri="{C3380CC4-5D6E-409C-BE32-E72D297353CC}">
                <c16:uniqueId val="{0000000F-DD84-4450-BD3F-BDCC2FBE2621}"/>
              </c:ext>
            </c:extLst>
          </c:dPt>
          <c:dLbls>
            <c:dLbl>
              <c:idx val="3"/>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84-4450-BD3F-BDCC2FBE2621}"/>
                </c:ext>
              </c:extLst>
            </c:dLbl>
            <c:dLbl>
              <c:idx val="4"/>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84-4450-BD3F-BDCC2FBE2621}"/>
                </c:ext>
              </c:extLst>
            </c:dLbl>
            <c:dLbl>
              <c:idx val="5"/>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D84-4450-BD3F-BDCC2FBE2621}"/>
                </c:ext>
              </c:extLst>
            </c:dLbl>
            <c:dLbl>
              <c:idx val="6"/>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D84-4450-BD3F-BDCC2FBE2621}"/>
                </c:ext>
              </c:extLst>
            </c:dLbl>
            <c:dLbl>
              <c:idx val="7"/>
              <c:layout>
                <c:manualLayout>
                  <c:x val="-0.14941347471008351"/>
                  <c:y val="0"/>
                </c:manualLayout>
              </c:layout>
              <c:tx>
                <c:rich>
                  <a:bodyPr/>
                  <a:lstStyle/>
                  <a:p>
                    <a:r>
                      <a:rPr lang="en-US"/>
                      <a:t>Non-factor costs</a:t>
                    </a:r>
                    <a:r>
                      <a:rPr lang="en-US" baseline="0"/>
                      <a:t> </a:t>
                    </a:r>
                    <a:fld id="{7715F935-C628-4CD6-830E-1093B55AF064}" type="VALUE">
                      <a:rPr lang="en-US" baseline="0"/>
                      <a:pPr/>
                      <a:t>[VALUE]</a:t>
                    </a:fld>
                    <a:r>
                      <a:rPr lang="en-US" baseline="0"/>
                      <a:t> </a:t>
                    </a:r>
                    <a:fld id="{77F936D5-73D8-4C92-BA16-A13F9FA49EBC}"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DD84-4450-BD3F-BDCC2FBE262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'SK-5 US-160-0'!$K$54:$K$60</c:f>
              <c:strCache>
                <c:ptCount val="7"/>
                <c:pt idx="0">
                  <c:v>Total land cost</c:v>
                </c:pt>
                <c:pt idx="1">
                  <c:v>Total labour cost</c:v>
                </c:pt>
                <c:pt idx="2">
                  <c:v>Total capital cost</c:v>
                </c:pt>
                <c:pt idx="3">
                  <c:v>Feed</c:v>
                </c:pt>
                <c:pt idx="4">
                  <c:v>Fuel, energy, lubricants</c:v>
                </c:pt>
                <c:pt idx="5">
                  <c:v>Buildings</c:v>
                </c:pt>
                <c:pt idx="6">
                  <c:v>Other</c:v>
                </c:pt>
              </c:strCache>
            </c:strRef>
          </c:cat>
          <c:val>
            <c:numRef>
              <c:f>'SK-5 US-160-0'!$L$54:$L$60</c:f>
              <c:numCache>
                <c:formatCode>_-"$"* #,##0_-;\-"$"* #,##0_-;_-"$"* "-"??_-;_-@_-</c:formatCode>
                <c:ptCount val="7"/>
                <c:pt idx="0">
                  <c:v>239.99575558054116</c:v>
                </c:pt>
                <c:pt idx="1">
                  <c:v>521.01599373100066</c:v>
                </c:pt>
                <c:pt idx="2">
                  <c:v>176.25763780066077</c:v>
                </c:pt>
                <c:pt idx="3">
                  <c:v>231.70080487695813</c:v>
                </c:pt>
                <c:pt idx="4">
                  <c:v>129.92737723258196</c:v>
                </c:pt>
                <c:pt idx="5">
                  <c:v>104.39977485926329</c:v>
                </c:pt>
                <c:pt idx="6">
                  <c:v>406.52390073138235</c:v>
                </c:pt>
              </c:numCache>
            </c:numRef>
          </c:val>
          <c:extLst>
            <c:ext xmlns:c16="http://schemas.microsoft.com/office/drawing/2014/chart" uri="{C3380CC4-5D6E-409C-BE32-E72D297353CC}">
              <c16:uniqueId val="{00000010-DD84-4450-BD3F-BDCC2FBE2621}"/>
            </c:ext>
          </c:extLst>
        </c:ser>
        <c:dLbls>
          <c:dLblPos val="bestFit"/>
          <c:showLegendKey val="0"/>
          <c:showVal val="0"/>
          <c:showCatName val="1"/>
          <c:showSerName val="0"/>
          <c:showPercent val="1"/>
          <c:showBubbleSize val="0"/>
          <c:showLeaderLines val="1"/>
        </c:dLbls>
        <c:gapWidth val="100"/>
        <c:splitType val="pos"/>
        <c:splitPos val="4"/>
        <c:secondPieSize val="10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US" sz="1440" b="1" i="0" u="none" strike="noStrike" kern="1200" spc="0" baseline="0">
                <a:solidFill>
                  <a:sysClr val="windowText" lastClr="000000">
                    <a:lumMod val="65000"/>
                    <a:lumOff val="35000"/>
                  </a:sysClr>
                </a:solidFill>
                <a:latin typeface="+mn-lt"/>
                <a:ea typeface="+mn-ea"/>
                <a:cs typeface="+mn-cs"/>
              </a:rPr>
              <a:t>US-160-0</a:t>
            </a:r>
            <a:endParaRPr lang="en-US" b="1"/>
          </a:p>
        </c:rich>
      </c:tx>
      <c:layout>
        <c:manualLayout>
          <c:xMode val="edge"/>
          <c:yMode val="edge"/>
          <c:x val="0.4672754079653087"/>
          <c:y val="3.9458850056369787E-2"/>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775236791053285E-2"/>
          <c:y val="0.26494687036724696"/>
          <c:w val="0.82398575830195142"/>
          <c:h val="0.61990918694351482"/>
        </c:manualLayout>
      </c:layout>
      <c:ofPieChart>
        <c:ofPieType val="bar"/>
        <c:varyColors val="1"/>
        <c:ser>
          <c:idx val="0"/>
          <c:order val="0"/>
          <c:spPr>
            <a:ln w="19050">
              <a:solidFill>
                <a:schemeClr val="bg1"/>
              </a:solidFill>
            </a:ln>
          </c:spPr>
          <c:dPt>
            <c:idx val="0"/>
            <c:bubble3D val="0"/>
            <c:spPr>
              <a:solidFill>
                <a:schemeClr val="accent1">
                  <a:shade val="47000"/>
                </a:schemeClr>
              </a:solidFill>
              <a:ln w="19050">
                <a:solidFill>
                  <a:schemeClr val="bg1"/>
                </a:solidFill>
              </a:ln>
              <a:effectLst/>
            </c:spPr>
            <c:extLst>
              <c:ext xmlns:c16="http://schemas.microsoft.com/office/drawing/2014/chart" uri="{C3380CC4-5D6E-409C-BE32-E72D297353CC}">
                <c16:uniqueId val="{00000001-225B-4C16-8B3E-E28C9B0A1D80}"/>
              </c:ext>
            </c:extLst>
          </c:dPt>
          <c:dPt>
            <c:idx val="1"/>
            <c:bubble3D val="0"/>
            <c:spPr>
              <a:solidFill>
                <a:schemeClr val="accent1">
                  <a:shade val="65000"/>
                </a:schemeClr>
              </a:solidFill>
              <a:ln w="19050">
                <a:solidFill>
                  <a:schemeClr val="bg1"/>
                </a:solidFill>
              </a:ln>
              <a:effectLst/>
            </c:spPr>
            <c:extLst>
              <c:ext xmlns:c16="http://schemas.microsoft.com/office/drawing/2014/chart" uri="{C3380CC4-5D6E-409C-BE32-E72D297353CC}">
                <c16:uniqueId val="{00000003-225B-4C16-8B3E-E28C9B0A1D80}"/>
              </c:ext>
            </c:extLst>
          </c:dPt>
          <c:dPt>
            <c:idx val="2"/>
            <c:bubble3D val="0"/>
            <c:spPr>
              <a:solidFill>
                <a:schemeClr val="accent1">
                  <a:shade val="82000"/>
                </a:schemeClr>
              </a:solidFill>
              <a:ln w="19050">
                <a:solidFill>
                  <a:schemeClr val="bg1"/>
                </a:solidFill>
              </a:ln>
              <a:effectLst/>
            </c:spPr>
            <c:extLst>
              <c:ext xmlns:c16="http://schemas.microsoft.com/office/drawing/2014/chart" uri="{C3380CC4-5D6E-409C-BE32-E72D297353CC}">
                <c16:uniqueId val="{00000005-225B-4C16-8B3E-E28C9B0A1D80}"/>
              </c:ext>
            </c:extLst>
          </c:dPt>
          <c:dPt>
            <c:idx val="3"/>
            <c:bubble3D val="0"/>
            <c:spPr>
              <a:solidFill>
                <a:schemeClr val="accent1"/>
              </a:solidFill>
              <a:ln w="19050">
                <a:solidFill>
                  <a:schemeClr val="bg1"/>
                </a:solidFill>
              </a:ln>
              <a:effectLst/>
            </c:spPr>
            <c:extLst>
              <c:ext xmlns:c16="http://schemas.microsoft.com/office/drawing/2014/chart" uri="{C3380CC4-5D6E-409C-BE32-E72D297353CC}">
                <c16:uniqueId val="{00000007-225B-4C16-8B3E-E28C9B0A1D80}"/>
              </c:ext>
            </c:extLst>
          </c:dPt>
          <c:dPt>
            <c:idx val="4"/>
            <c:bubble3D val="0"/>
            <c:spPr>
              <a:solidFill>
                <a:schemeClr val="accent1">
                  <a:tint val="83000"/>
                </a:schemeClr>
              </a:solidFill>
              <a:ln w="19050">
                <a:solidFill>
                  <a:schemeClr val="bg1"/>
                </a:solidFill>
              </a:ln>
              <a:effectLst/>
            </c:spPr>
            <c:extLst>
              <c:ext xmlns:c16="http://schemas.microsoft.com/office/drawing/2014/chart" uri="{C3380CC4-5D6E-409C-BE32-E72D297353CC}">
                <c16:uniqueId val="{00000009-225B-4C16-8B3E-E28C9B0A1D80}"/>
              </c:ext>
            </c:extLst>
          </c:dPt>
          <c:dPt>
            <c:idx val="5"/>
            <c:bubble3D val="0"/>
            <c:spPr>
              <a:solidFill>
                <a:schemeClr val="accent1">
                  <a:tint val="65000"/>
                </a:schemeClr>
              </a:solidFill>
              <a:ln w="19050">
                <a:solidFill>
                  <a:schemeClr val="bg1"/>
                </a:solidFill>
              </a:ln>
              <a:effectLst/>
            </c:spPr>
            <c:extLst>
              <c:ext xmlns:c16="http://schemas.microsoft.com/office/drawing/2014/chart" uri="{C3380CC4-5D6E-409C-BE32-E72D297353CC}">
                <c16:uniqueId val="{0000000B-225B-4C16-8B3E-E28C9B0A1D80}"/>
              </c:ext>
            </c:extLst>
          </c:dPt>
          <c:dPt>
            <c:idx val="6"/>
            <c:bubble3D val="0"/>
            <c:spPr>
              <a:solidFill>
                <a:schemeClr val="accent1">
                  <a:tint val="48000"/>
                </a:schemeClr>
              </a:solidFill>
              <a:ln w="19050">
                <a:solidFill>
                  <a:schemeClr val="bg1"/>
                </a:solidFill>
              </a:ln>
              <a:effectLst/>
            </c:spPr>
            <c:extLst>
              <c:ext xmlns:c16="http://schemas.microsoft.com/office/drawing/2014/chart" uri="{C3380CC4-5D6E-409C-BE32-E72D297353CC}">
                <c16:uniqueId val="{0000000D-225B-4C16-8B3E-E28C9B0A1D80}"/>
              </c:ext>
            </c:extLst>
          </c:dPt>
          <c:dPt>
            <c:idx val="7"/>
            <c:bubble3D val="0"/>
            <c:spPr>
              <a:solidFill>
                <a:schemeClr val="accent1">
                  <a:tint val="30000"/>
                </a:schemeClr>
              </a:solidFill>
              <a:ln w="19050">
                <a:solidFill>
                  <a:schemeClr val="bg1"/>
                </a:solidFill>
              </a:ln>
              <a:effectLst/>
            </c:spPr>
            <c:extLst>
              <c:ext xmlns:c16="http://schemas.microsoft.com/office/drawing/2014/chart" uri="{C3380CC4-5D6E-409C-BE32-E72D297353CC}">
                <c16:uniqueId val="{0000000F-225B-4C16-8B3E-E28C9B0A1D80}"/>
              </c:ext>
            </c:extLst>
          </c:dPt>
          <c:dLbls>
            <c:dLbl>
              <c:idx val="0"/>
              <c:layout>
                <c:manualLayout>
                  <c:x val="5.7971927422115592E-3"/>
                  <c:y val="3.945885005636978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6422028985507245"/>
                      <c:h val="0.14075535512965051"/>
                    </c:manualLayout>
                  </c15:layout>
                </c:ext>
                <c:ext xmlns:c16="http://schemas.microsoft.com/office/drawing/2014/chart" uri="{C3380CC4-5D6E-409C-BE32-E72D297353CC}">
                  <c16:uniqueId val="{00000001-225B-4C16-8B3E-E28C9B0A1D80}"/>
                </c:ext>
              </c:extLst>
            </c:dLbl>
            <c:dLbl>
              <c:idx val="1"/>
              <c:layout>
                <c:manualLayout>
                  <c:x val="-2.7777777777777779E-3"/>
                  <c:y val="3.703703703703703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25B-4C16-8B3E-E28C9B0A1D80}"/>
                </c:ext>
              </c:extLst>
            </c:dLbl>
            <c:dLbl>
              <c:idx val="2"/>
              <c:layout>
                <c:manualLayout>
                  <c:x val="2.5462668816039986E-17"/>
                  <c:y val="-1.851851851851851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25B-4C16-8B3E-E28C9B0A1D80}"/>
                </c:ext>
              </c:extLst>
            </c:dLbl>
            <c:dLbl>
              <c:idx val="3"/>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5B-4C16-8B3E-E28C9B0A1D80}"/>
                </c:ext>
              </c:extLst>
            </c:dLbl>
            <c:dLbl>
              <c:idx val="4"/>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28568115942028988"/>
                      <c:h val="0.11324689966178128"/>
                    </c:manualLayout>
                  </c15:layout>
                </c:ext>
                <c:ext xmlns:c16="http://schemas.microsoft.com/office/drawing/2014/chart" uri="{C3380CC4-5D6E-409C-BE32-E72D297353CC}">
                  <c16:uniqueId val="{00000009-225B-4C16-8B3E-E28C9B0A1D80}"/>
                </c:ext>
              </c:extLst>
            </c:dLbl>
            <c:dLbl>
              <c:idx val="5"/>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25B-4C16-8B3E-E28C9B0A1D80}"/>
                </c:ext>
              </c:extLst>
            </c:dLbl>
            <c:dLbl>
              <c:idx val="6"/>
              <c:numFmt formatCode="\(0%\)" sourceLinked="0"/>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25B-4C16-8B3E-E28C9B0A1D80}"/>
                </c:ext>
              </c:extLst>
            </c:dLbl>
            <c:dLbl>
              <c:idx val="7"/>
              <c:layout>
                <c:manualLayout>
                  <c:x val="-0.12309483053748717"/>
                  <c:y val="-6.6445330184910648E-3"/>
                </c:manualLayout>
              </c:layout>
              <c:tx>
                <c:rich>
                  <a:bodyPr/>
                  <a:lstStyle/>
                  <a:p>
                    <a:r>
                      <a:rPr lang="en-US"/>
                      <a:t>Non-factor costs</a:t>
                    </a:r>
                    <a:r>
                      <a:rPr lang="en-US" baseline="0"/>
                      <a:t> </a:t>
                    </a:r>
                    <a:fld id="{7715F935-C628-4CD6-830E-1093B55AF064}" type="VALUE">
                      <a:rPr lang="en-US" baseline="0"/>
                      <a:pPr/>
                      <a:t>[VALUE]</a:t>
                    </a:fld>
                    <a:r>
                      <a:rPr lang="en-US" baseline="0"/>
                      <a:t> </a:t>
                    </a:r>
                    <a:fld id="{77F936D5-73D8-4C92-BA16-A13F9FA49EBC}" type="PERCENTAGE">
                      <a:rPr lang="en-US" baseline="0"/>
                      <a:pPr/>
                      <a:t>[PERCENTAGE]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225B-4C16-8B3E-E28C9B0A1D8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'SK-5 US-160-0'!$J$51:$J$57</c:f>
              <c:strCache>
                <c:ptCount val="7"/>
                <c:pt idx="0">
                  <c:v>Total land cost</c:v>
                </c:pt>
                <c:pt idx="1">
                  <c:v>Total labour cost</c:v>
                </c:pt>
                <c:pt idx="2">
                  <c:v>Total capital cost</c:v>
                </c:pt>
                <c:pt idx="3">
                  <c:v>Feed</c:v>
                </c:pt>
                <c:pt idx="4">
                  <c:v>Maintenance and spare parts</c:v>
                </c:pt>
                <c:pt idx="5">
                  <c:v>Machinery</c:v>
                </c:pt>
                <c:pt idx="6">
                  <c:v>Other</c:v>
                </c:pt>
              </c:strCache>
            </c:strRef>
          </c:cat>
          <c:val>
            <c:numRef>
              <c:f>'SK-5 US-160-0'!$K$51:$K$57</c:f>
              <c:numCache>
                <c:formatCode>_-"$"* #,##0_-;\-"$"* #,##0_-;_-"$"* "-"??_-;_-@_-</c:formatCode>
                <c:ptCount val="7"/>
                <c:pt idx="0">
                  <c:v>509.55588811701335</c:v>
                </c:pt>
                <c:pt idx="1">
                  <c:v>109.28022124205692</c:v>
                </c:pt>
                <c:pt idx="2">
                  <c:v>20.417364370511731</c:v>
                </c:pt>
                <c:pt idx="3">
                  <c:v>344.57940396805304</c:v>
                </c:pt>
                <c:pt idx="4">
                  <c:v>92</c:v>
                </c:pt>
                <c:pt idx="5">
                  <c:v>46.501434606551207</c:v>
                </c:pt>
                <c:pt idx="6">
                  <c:v>165</c:v>
                </c:pt>
              </c:numCache>
            </c:numRef>
          </c:val>
          <c:extLst>
            <c:ext xmlns:c16="http://schemas.microsoft.com/office/drawing/2014/chart" uri="{C3380CC4-5D6E-409C-BE32-E72D297353CC}">
              <c16:uniqueId val="{00000010-225B-4C16-8B3E-E28C9B0A1D80}"/>
            </c:ext>
          </c:extLst>
        </c:ser>
        <c:dLbls>
          <c:dLblPos val="bestFit"/>
          <c:showLegendKey val="0"/>
          <c:showVal val="0"/>
          <c:showCatName val="1"/>
          <c:showSerName val="0"/>
          <c:showPercent val="1"/>
          <c:showBubbleSize val="0"/>
          <c:showLeaderLines val="1"/>
        </c:dLbls>
        <c:gapWidth val="100"/>
        <c:splitType val="pos"/>
        <c:splitPos val="4"/>
        <c:secondPieSize val="100"/>
        <c:serLines>
          <c:spPr>
            <a:ln w="9525" cap="flat" cmpd="sng" algn="ctr">
              <a:solidFill>
                <a:schemeClr val="tx1">
                  <a:lumMod val="35000"/>
                  <a:lumOff val="65000"/>
                </a:schemeClr>
              </a:solidFill>
              <a:prstDash val="solid"/>
              <a:round/>
            </a:ln>
            <a:effectLst/>
          </c:spPr>
        </c:serLines>
      </c:ofPieChart>
      <c:spPr>
        <a:noFill/>
        <a:ln>
          <a:noFill/>
        </a:ln>
        <a:effectLst/>
      </c:spPr>
    </c:plotArea>
    <c:plotVisOnly val="1"/>
    <c:dispBlanksAs val="gap"/>
    <c:showDLblsOverMax val="0"/>
    <c:extLst/>
  </c:chart>
  <c:spPr>
    <a:noFill/>
    <a:ln w="6350" cap="flat" cmpd="sng" algn="ctr">
      <a:no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CA" sz="1440" b="1" i="0" u="none" strike="noStrike" kern="1200" spc="0" baseline="0">
                <a:solidFill>
                  <a:sysClr val="windowText" lastClr="000000">
                    <a:lumMod val="65000"/>
                    <a:lumOff val="35000"/>
                  </a:sysClr>
                </a:solidFill>
                <a:latin typeface="+mn-lt"/>
                <a:ea typeface="+mn-ea"/>
                <a:cs typeface="+mn-cs"/>
              </a:rPr>
              <a:t>SK-5</a:t>
            </a:r>
            <a:endParaRPr lang="en-CA"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dLbls>
          <c:dLblPos val="bestFit"/>
          <c:showLegendKey val="0"/>
          <c:showVal val="0"/>
          <c:showCatName val="1"/>
          <c:showSerName val="0"/>
          <c:showPercent val="1"/>
          <c:showBubbleSize val="0"/>
          <c:showLeaderLines val="0"/>
        </c:dLbls>
        <c:gapWidth val="100"/>
        <c:splitType val="pos"/>
        <c:splitPos val="4"/>
        <c:secondPieSize val="10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7</Pages>
  <Words>1845</Words>
  <Characters>9775</Characters>
  <Application>Microsoft Office Word</Application>
  <DocSecurity>0</DocSecurity>
  <Lines>280</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Keenes</dc:creator>
  <cp:keywords/>
  <dc:description/>
  <cp:lastModifiedBy>Heidi Tymko</cp:lastModifiedBy>
  <cp:revision>24</cp:revision>
  <cp:lastPrinted>2023-12-05T17:00:00Z</cp:lastPrinted>
  <dcterms:created xsi:type="dcterms:W3CDTF">2022-07-29T15:45:00Z</dcterms:created>
  <dcterms:modified xsi:type="dcterms:W3CDTF">2023-12-05T17:01:00Z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4e1d84d969f1c144e826b6548a3afc20cefd373b981dbd05da35d3e35615e727</vt:lpwstr>
  </property>
</Properties>
</file>